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https://www.cnmc.es/expedientes/c033911</w:t>
      </w:r>
    </w:p>
    <w:p>
      <w:r>
        <w:t>Pages translated : 1</w:t>
      </w:r>
    </w:p>
    <w:p/>
    <w:p>
      <w:r>
        <w:rPr>
          <w:b/>
        </w:rPr>
        <w:t>[Pages 1–1]</w:t>
      </w:r>
    </w:p>
    <w:p>
      <w:r>
        <w:t xml:space="preserve">RESOLUTION (File C-0339/11, CINESA/UGC ASSETS)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In Madrid, on April 6, 2011.</w:t>
      </w:r>
    </w:p>
    <w:p>
      <w:r>
        <w:t>Having reviewed the file processed in accordance with Law 15/2007, of July 3, on the Defense of Competition, regarding the acquisition by CINESA COMPAÑÍA DE INICIATIVAS Y ESPECTÁCULOS S.A. of exclusive control over the business of operating cinema premises owned by UGC Cine Cité Madrid Exhibición S.L.U., located in Getafe, Manoteras, and Méndez Álvaro, and the business of operating cinema premises owned by UGC Iberia S.A., located in Valladolid and Algeciras (File C/0339/11),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agreements, non-solicitation of employees, and confidentiality, which would be subject to the regulations on agreements between companies insofar as they exceed two years and affect areas outside the provinces of Madrid, Valladolid, and Cádiz.</w:t>
      </w:r>
    </w:p>
    <w:p>
      <w:r>
        <w:t xml:space="preserve">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