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https://www.cnmc.es/expedientes/c034311</w:t>
      </w:r>
    </w:p>
    <w:p>
      <w:r>
        <w:t>Pages translated : 1</w:t>
      </w:r>
    </w:p>
    <w:p/>
    <w:p>
      <w:r>
        <w:rPr>
          <w:b/>
        </w:rPr>
        <w:t>[Pages 1–1]</w:t>
      </w:r>
    </w:p>
    <w:p>
      <w:r>
        <w:t>RESOLUTION (File C-0343/11, 3i (MEMORA)/SERVEIS FUNERARIS DE BARCELONA)</w:t>
      </w:r>
    </w:p>
    <w:p>
      <w:r>
        <w:t>COUNCIL</w:t>
      </w:r>
    </w:p>
    <w:p>
      <w:r>
        <w:t xml:space="preserve">Mr. Luis Berenguer Fuster, President  </w:t>
        <w:br/>
        <w:t xml:space="preserve">Ms. Pilar Sánchez Núñez, Vice President  </w:t>
        <w:br/>
        <w:t xml:space="preserve">Mr. Julio Costas Comesaña, Councilor  </w:t>
        <w:br/>
        <w:t xml:space="preserve">Ms. Mª Jesús González López, Councilor  </w:t>
        <w:br/>
        <w:t>Ms. Inmaculada Gutiérrez Carrizo, Councilor</w:t>
      </w:r>
    </w:p>
    <w:p>
      <w:r>
        <w:t>In Madrid, on April 6, 2011.</w:t>
      </w:r>
    </w:p>
    <w:p>
      <w:r>
        <w:t>Having reviewed the file processed in accordance with Law 15/2007, of July 3, on the Defense of Competition, regarding the transition from joint control to exclusive control of the company SERVEIS FUNERARIS DE BARCELONA S.A. by the company POMPAS FUNEBRES MEDITERRÁNEAS S.L.U. (a subsidiary of the funeral services group MÉMORA, ultimately under the control of 3i GROUP Plc) (File C/0343/11), and in agreement with the report and proposal submitted by the Directorate of Investigation, the Council of the National Competition Commission has resolved, in application of Article 57.2.a) of the aforementioned Law, to authorize the cited concentration operation in the first phase, except with respect to the commission contract, the service contract, and the Regulatory Agreement on Price Stability Obligations applicable to funeral services, which would be subject to the regulations on agreements between companies.</w:t>
      </w:r>
    </w:p>
    <w:p>
      <w:r>
        <w:t>This Resolution shall be communicated to the Directorate of Investigation of the National Competition Commission and notified to the interested parties, informing them that it concludes the administrative process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