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https://www.cnmc.es/expedientes/c034511</w:t>
      </w:r>
    </w:p>
    <w:p>
      <w:r>
        <w:t>Pages translated : 1</w:t>
      </w:r>
    </w:p>
    <w:p/>
    <w:p>
      <w:r>
        <w:rPr>
          <w:b/>
        </w:rPr>
        <w:t>[Pages 1–1]</w:t>
      </w:r>
    </w:p>
    <w:p>
      <w:r>
        <w:t>RESOLUTION (File C-0345/11, KHK/PRO STRAKAN)</w:t>
        <w:br/>
        <w:t>COUNCIL</w:t>
        <w:br/>
        <w:t>Mr. Luis Berenguer Fuster, President</w:t>
        <w:br/>
        <w:t>Ms. Pilar Sánchez Núñez, Vice President</w:t>
        <w:br/>
        <w:t>Mr. Julio Costas Comesaña, Councilor</w:t>
        <w:br/>
        <w:t>Ms. Mª Jesús González López, Councilor</w:t>
        <w:br/>
        <w:t>Ms. Inmaculada Gutiérrez Carrizo, Councilor</w:t>
        <w:br/>
        <w:t>In Madrid, on March 30, 2011.</w:t>
        <w:br/>
        <w:t>Having reviewed the file processed in accordance with Law 15/2007, of July 3, on the Defense of Competition, regarding the acquisition by KYOWA HAKKO KIRIN CO. LTD of exclusive control over PRO STRAKAN GROUP PLC, through an offer implementation agreement signed on February 21, 2011 (File C/0345/11),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