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https://www.cnmc.es/expedientes/c034711</w:t>
      </w:r>
    </w:p>
    <w:p>
      <w:r>
        <w:t>Pages translated : 1</w:t>
      </w:r>
    </w:p>
    <w:p/>
    <w:p>
      <w:r>
        <w:rPr>
          <w:b/>
        </w:rPr>
        <w:t>[Pages 1–1]</w:t>
      </w:r>
    </w:p>
    <w:p>
      <w:r>
        <w:t>RESOLUTION (File C-0347/11, ECHOSTAR/HUGHES)</w:t>
        <w:br/>
        <w:t>COUNCIL</w:t>
        <w:br/>
        <w:t>Mr. Luis Berenguer Fuster, President</w:t>
        <w:br/>
        <w:t>Ms. Pilar Sánchez Núñez, Vice President</w:t>
        <w:br/>
        <w:t>Mr. Julio Costas Comesaña, Councilor</w:t>
        <w:br/>
        <w:t>Ms. Mª Jesús González López, Councilor</w:t>
        <w:br/>
        <w:t>Ms. Inmaculada Gutiérrez Carrizo, Councilor</w:t>
        <w:br/>
        <w:t>In Madrid, on April 12, 2011.</w:t>
        <w:br/>
        <w:t>Having reviewed the file processed in accordance with Law 15/2007, of July 3, on the Defense of Competition, concerning the acquisition by ECHOSTAR CORPORATION of exclusive control over HUGHES NETWORK SYSTEMS LLC, through the acquisition of 100% of the shares of HUGHES (File C/0347/11), and in agreement with the report and proposal submitted by the Directorate of Investigation, the Council of the National Competition Commission has resolved, pursuant to Article 57.2.a) of the aforementioned Law, to authorize the aforementioned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