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https://www.cnmc.es/expedientes/c034811</w:t>
      </w:r>
    </w:p>
    <w:p>
      <w:r>
        <w:t>Pages translated : 1</w:t>
      </w:r>
    </w:p>
    <w:p/>
    <w:p>
      <w:r>
        <w:rPr>
          <w:b/>
        </w:rPr>
        <w:t>[Pages 1–1]</w:t>
      </w:r>
    </w:p>
    <w:p>
      <w:r>
        <w:t xml:space="preserve">RESOLUTION (File No. C-0348/11, RAILTECH/KLK/PROTELEC/MIT)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May 18, 2011.</w:t>
      </w:r>
    </w:p>
    <w:p>
      <w:r>
        <w:t>Having reviewed the file processed in accordance with Law 15/2007, of July 3, on the Defense of Competition, concerning the acquisition of exclusive control by RAILTECH INTERNATIONAL S.A. over KLK ELECTROMATERIALES S.A., over PROTECCIONES ELÉCTRICAS S.A., and over MARKETING INGENIERÍA Y TRADING S.A. (File No. C/0348/11),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non-competition and non-solicitation clauses which, to the extent that they exceed three years, are subject to the applicable regulations on agreements between companies.</w:t>
      </w:r>
    </w:p>
    <w:p>
      <w:r>
        <w:t xml:space="preserve">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  </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