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https://www.cnmc.es/expedientes/c035111</w:t>
      </w:r>
    </w:p>
    <w:p>
      <w:r>
        <w:t>Pages translated : 1</w:t>
      </w:r>
    </w:p>
    <w:p/>
    <w:p>
      <w:r>
        <w:rPr>
          <w:b/>
        </w:rPr>
        <w:t>[Pages 1–1]</w:t>
      </w:r>
    </w:p>
    <w:p>
      <w:r>
        <w:t>RESOLUTION (File No. C-0351/11, LANDON/ENEF)</w:t>
        <w:br/>
        <w:t>COUNCIL</w:t>
        <w:br/>
        <w:t>Mr. Luis Berenguer Fuster, President</w:t>
        <w:br/>
        <w:t>Ms. Pilar Sánchez Núñez, Vice President</w:t>
        <w:br/>
        <w:t>Mr. Julio Costas Comesaña, Counselor</w:t>
        <w:br/>
        <w:t>Ms. Mª Jesús González López, Counselor</w:t>
        <w:br/>
        <w:t>Ms. Inmaculada Gutiérrez Carrizo, Counselor</w:t>
        <w:br/>
        <w:t>In Madrid, on May 5, 2011.</w:t>
      </w:r>
    </w:p>
    <w:p>
      <w:r>
        <w:t>Having reviewed the file processed in accordance with Law 15/2007, of July 3, on the Defense of Competition, regarding the acquisition by LANDON INVESTMENTS SCR DE RÉGIMEN SIMPLIFICADO S.A. and ENEF HOLDING S.L.U. of joint control over a newly created joint venture (Newco) to which they contribute the post-production activities of advertising, film, and television currently belonging to their respective subsidiaries Infinia S.L. and Molinare S.A.U. (File No. C/0351/11),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non-solicitation, and confidentiality clauses which in the case of Filmax and Inova are subject to the applicable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