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https://www.cnmc.es/expedientes/c035211</w:t>
      </w:r>
    </w:p>
    <w:p>
      <w:r>
        <w:t>Pages translated : 1</w:t>
      </w:r>
    </w:p>
    <w:p/>
    <w:p>
      <w:r>
        <w:rPr>
          <w:b/>
        </w:rPr>
        <w:t>[Pages 1–1]</w:t>
      </w:r>
    </w:p>
    <w:p>
      <w:r>
        <w:t>RESOLUTION (File C-0352/11, CAJASTUR/CAJA EXTREMADURA/CAJA CANTABRIA)</w:t>
      </w:r>
    </w:p>
    <w:p>
      <w:r>
        <w:t>COUNCIL</w:t>
      </w:r>
    </w:p>
    <w:p>
      <w:r>
        <w:t xml:space="preserve">Mr. Luis Berenguer Fuster, President  </w:t>
        <w:br/>
        <w:t xml:space="preserve">Ms. Pilar Sánchez Núñez, Vice President  </w:t>
        <w:br/>
        <w:t xml:space="preserve">Mr. Julio Costas Comesaña, Council Member  </w:t>
        <w:br/>
        <w:t xml:space="preserve">Ms. Mª Jesús González López, Council Member  </w:t>
        <w:br/>
        <w:t>Ms. Inmaculada Gutiérrez Carrizo, Council Member</w:t>
      </w:r>
    </w:p>
    <w:p>
      <w:r>
        <w:t>In Madrid, on June 15, 2011.</w:t>
      </w:r>
    </w:p>
    <w:p>
      <w:r>
        <w:t>Having reviewed the file processed in accordance with Law 15/2007, of July 3, on the Defense of Competition, regarding the acquisition by CAJA DE AHORROS DE ASTURIAS (CAJASTUR) of exclusive control over CAJA DE AHORROS Y MONTE DE PIEDAD DE EXTREMADURA and CAJA DE AHORROS DE SANTANDER Y CANTABRIA (File C/0352/11), and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Audiencia Nacional, within a period of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