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https://www.cnmc.es/expedientes/c035311</w:t>
      </w:r>
    </w:p>
    <w:p>
      <w:r>
        <w:t>Pages translated : 13</w:t>
      </w:r>
    </w:p>
    <w:p/>
    <w:p>
      <w:r>
        <w:rPr>
          <w:b/>
        </w:rPr>
        <w:t>[Pages 1–3]</w:t>
      </w:r>
    </w:p>
    <w:p>
      <w:r>
        <w:t xml:space="preserve">RESOLUTION  </w:t>
        <w:br/>
        <w:t xml:space="preserve">Expte. C/0353/11 EBRO/SOS ASSETS  </w:t>
        <w:br/>
        <w:t xml:space="preserve">Council:  </w:t>
        <w:br/>
        <w:t xml:space="preserve">Mr. Luis Berenguer Fuster, President  </w:t>
        <w:br/>
        <w:t xml:space="preserve">Ms. Pilar Sánchez Núñez, Vice President  </w:t>
        <w:br/>
        <w:t xml:space="preserve">Ms. María Jesús González López, Counselor  </w:t>
        <w:br/>
        <w:t xml:space="preserve">Ms. Inmaculada Gutiérrez Carrizo, Counselor  </w:t>
        <w:br/>
        <w:t>Madrid, September 2, 2011</w:t>
      </w:r>
    </w:p>
    <w:p>
      <w:r>
        <w:t>The Council of the National Competition Commission (hereinafter the Council), with the composition expressed above and with the Counselor Ms. Pilar Sánchez Núñez as the rapporteur, has issued this Resolution under Article 57 of Law 15/2007, of July 3, on the Defense of Competition (hereinafter LDC) in the concentration file C/0353/11 EBRO/SOS ASSETS regarding the economic concentration operation consisting of the acquisition by EBRO of certain assets of SOS in the rice business in Spain.</w:t>
      </w:r>
    </w:p>
    <w:p>
      <w:r>
        <w:t xml:space="preserve">FACTUAL BACKGROUND  </w:t>
        <w:br/>
        <w:t xml:space="preserve">1. On May 4, 2011, the notification of the concentration operation consisting of the acquisition by Ebro Foods, S.A. (hereinafter, “EBRO”) of certain assets of the rice business of SOS Corporación Alimentaria, S.A. (hereinafter, “SOS”) was received by the National Competition Commission, assigned the number C/0353/11 EBRO/SOS ASSETS.  </w:t>
        <w:br/>
        <w:t xml:space="preserve">2. In accordance with Article 57.1 of Law 15/2007, of July 3, on the Defense of Competition, the Investigation Directorate of the CNC formed a file, and during its processing, information was requested from customers, distributors, suppliers, and competitors regarding the markets affected by the operation, with the suspension of the maximum deadline for resolution.  </w:t>
        <w:br/>
        <w:t xml:space="preserve">3. The notifier, based on Article 59 of the LDC, and in order to obtain authorization from the CNC for the operation during the first phase of the procedure, submitted a first set of commitments on July 22 and a second set on July 27. The Investigation Directorate, in accordance with the provisions of Article 69.3 of the RDC, forwarded these proposals to the Council, and in accordance with Article 59.3 of the LDC, the commitments of July 27 were submitted for third-party assessment.  </w:t>
        <w:br/>
        <w:t xml:space="preserve">4. On August 13, the notifier submitted a modification of the commitments, which the Investigation Directorate again forwarded to the Council, with the modification submitted on August 31 being the final one, as stated in the Proposal Report of the Investigation Directorate.  </w:t>
        <w:br/>
        <w:t xml:space="preserve">5. On September 1, 2011, the Investigation Directorate submitted its report and Proposal for Resolution to the Council. The Investigation Directorate analyzes and delineates the markets where the concentration operation will have its effects in the Report attached to this Resolution. In the same, the Investigation Directorate assesses that the operation could have detrimental effects on effective competition in some of the analyzed markets. Although the notifying parties mention some efficiency derived from the operation, no concrete identification, description, and analysis are provided, so that these, if they exist, could not be considered by the Investigation Directorate in its assessment of the operation.  </w:t>
        <w:br/>
        <w:t xml:space="preserve">6. Finally, the Investigation Directorate proposes, in application of Article 57.2.b) of the LDC, to condition the authorization of the concentration on the fulfillment of certain commitments proposed by the notifying parties. In accordance with the provisions of Article 59 of Law 15/2007, EBRO submitted a set of final commitments on August 31, 2011, the full version of which is included in the resolution proposal of the Investigation Directorate in accordance with the provisions of Article 69.7 of the Competition Defense Regulation (ROYAL DECREE 261/2008, of February 22).  </w:t>
        <w:br/>
        <w:t xml:space="preserve">7. Ebro Foods, S.A. is an interested party in this file.  </w:t>
        <w:br/>
        <w:t>8. After deliberating in its plenary session on September 2, 2011, the Council of the National Competition Commission adopted this Resolution.</w:t>
      </w:r>
    </w:p>
    <w:p>
      <w:r>
        <w:t xml:space="preserve">LEGAL GROUNDS  </w:t>
        <w:br/>
        <w:t xml:space="preserve">First.- In accordance with Article 57.2 of the LDC, based on the report and the resolution proposal of the Investigation Directorate, the Council of the CNC will issue a resolution in the first phase, in which it may: a) Authorize the concentration; b) Condition the authorization of the concentration on the fulfillment of certain commitments proposed by the notifying parties; c) Agree to initiate the second phase of the procedure when it considers that the concentration may hinder the maintenance of effective competition in all or part of the national market; or d) Agree to refer the concentration to the European Commission in accordance with Article 22 of Council Regulation (EC) No. 139/2004 of January 20, 2004, on the control of concentrations between undertakings and the filing of the corresponding notification.  </w:t>
        <w:br/>
        <w:t xml:space="preserve">Second.- In accordance with the provisions of Article 59 of the LDC, the notifier has submitted commitments during the first phase of analysis of the concentration control procedure regulated in the LDC. These commitments are fully revealed in the proposal that the Investigation Directorate submits to the Council of the CNC, and whose fundamental aspects are as follows:  </w:t>
        <w:br/>
        <w:t xml:space="preserve">“SECTION A. DEFINITIONS  </w:t>
        <w:br/>
        <w:t xml:space="preserve">Divestment Assets; the intangible assets that EBRO commits to divest, in accordance with the provisions of Section B.  </w:t>
        <w:br/>
        <w:t xml:space="preserve">Binding Assignment Agreement: agreement for the assignment of one or more Divestment Assets.  </w:t>
        <w:br/>
        <w:t xml:space="preserve">Divestment Administrator: One or more natural or legal persons, independent of EBRO, who, once approved by the CNC at the proposal of EBRO, will receive the mandate to manage the businesses operated under the Divestment Assets and the NOMEN brand.  </w:t>
        <w:br/>
        <w:t xml:space="preserve">Closing: effective date of the assignment of the Assets affected by the Commitments to the Buyer.  </w:t>
        <w:br/>
        <w:t xml:space="preserve">Buyer: the entity that the CNC approves as the buyer of one or more Divestment Assets or parts of Divestment Assets.  </w:t>
        <w:br/>
        <w:t xml:space="preserve">Divestment Commitment: the commitment related to the assignment of the Divestment Assets.  </w:t>
        <w:br/>
        <w:t xml:space="preserve">EBRO: Ebro Foods, S.A. with CIF number A-47412333 and registered office at Paseo de la Castellana, 20 3rd floor 28046 Madrid.  </w:t>
        <w:br/>
        <w:t xml:space="preserve">LDC: Law 15/2007, of July 3, on the Defense of Competition.  </w:t>
        <w:br/>
        <w:t xml:space="preserve">Effective date of the commitments: the commitments described in this document will come into effect on the date of adoption of the Resolution by which the Council authorizes the concentration operation by which EBRO acquires certain businesses of the rice activity of DEOLEO.  </w:t>
        <w:br/>
        <w:t xml:space="preserve">Divestiture Trustee: one or more natural or legal persons, independent of EBRO, who, once approved by the CNC at the proposal of EBRO, will receive the exclusive and irrevocable mandate to assign the Divestment Assets during the Additional Divestment Period.  </w:t>
        <w:br/>
        <w:t xml:space="preserve">Initial Divestment Period: […]1 from the date on which the Investigation Directorate approves the action plan that EBRO will present in accordance with the provisions of Section E of this document.  </w:t>
        <w:br/>
        <w:t xml:space="preserve">Additional Divestment Period: […] under the conditions provided in section 3 of Section B.  </w:t>
        <w:br/>
        <w:t xml:space="preserve">Buyer Requirements: the requirements set forth in section 2 of Section B that the Buyer must meet in order to be approved by the CNC.  </w:t>
        <w:br/>
        <w:t xml:space="preserve">Resolution: the resolution adopted by the Council of the National Competition Commission in the matter C-0353/11, in accordance with Article 58 of the LDC.  </w:t>
        <w:br/>
        <w:t xml:space="preserve">SECTION B. DIVESTMENT COMMITMENT OF ASSETS  </w:t>
        <w:br/>
        <w:t xml:space="preserve">1) Structure and definition of the Divestment Assets  </w:t>
        <w:br/>
        <w:t xml:space="preserve">The Divestment Assets will consist of:  </w:t>
        <w:br/>
        <w:t>1 The information whose exact content has been declared confidential is indicated in parentheses.</w:t>
      </w:r>
    </w:p>
    <w:p>
      <w:r>
        <w:rPr>
          <w:b/>
        </w:rPr>
        <w:t>[Pages 4–6]</w:t>
      </w:r>
    </w:p>
    <w:p>
      <w:r>
        <w:t>(A) The exclusive license grant for the use with a purchase option of the NOMEN brand</w:t>
      </w:r>
    </w:p>
    <w:p>
      <w:r>
        <w:t>EBRO commits to granting a license for the use of the NOMEN brand for all products and geographical markets for which it is granted, for a period of 10 years. The license will include a purchase option in favor of the licensee that may be exercised throughout the entire duration of the license, taking into account in the purchase price of the brand what has been paid by the licensee during the license period, updated to the date of exercise of the option. If this purchase option is not exercised, the licensee may transfer the goodwill covered by this brand to another of its choice. The agreement will contain appropriate safeguards to prevent either party from accessing the confidential information of the other party. At EBRO's proposal, the CNC may authorize the redemption of the license in case it is not being effectively exploited by the licensee. In such case, the license will be assigned under the same terms that govern the additional divestment period to another licensee for the time that remains, if applicable.</w:t>
      </w:r>
    </w:p>
    <w:p>
      <w:r>
        <w:t>(B) The ownership of the following brands of which EBRO is currently the holder:</w:t>
        <w:br/>
        <w:t>1) La Parrilla;</w:t>
        <w:br/>
        <w:t>2) La Cazuela;</w:t>
        <w:br/>
        <w:t>3) Pavo Real;</w:t>
        <w:br/>
        <w:t>4) Nobleza.</w:t>
      </w:r>
    </w:p>
    <w:p>
      <w:r>
        <w:t>Each brand may be sold independently or jointly with one or more of the indicated brands and will include all industrial property rights and goodwill associated with them. EBRO will offer the Buyer the provision of packaging and storage services to the extent strictly necessary to facilitate the transition as well as the supply of rice necessary to meet its demand, under market conditions. The relevant contracts will be subject to prior approval by the National Competition Commission.</w:t>
      </w:r>
    </w:p>
    <w:p>
      <w:r>
        <w:t>2) The Buyer</w:t>
        <w:br/>
        <w:t>Buyer Requirements</w:t>
      </w:r>
    </w:p>
    <w:p>
      <w:r>
        <w:t>The Buyer must:</w:t>
        <w:br/>
        <w:t>(a) not be controlled or participated in by EBRO and/or by group companies;</w:t>
        <w:br/>
        <w:t>(b) have sufficient financial resources, experience, and incentives to exploit the divestment Assets;</w:t>
        <w:br/>
        <w:t>(c) not generate risks of hindering effective competition;</w:t>
        <w:br/>
        <w:t>(d) not generate risks of delay in the implementation of the Divestment Commitment;</w:t>
      </w:r>
    </w:p>
    <w:p>
      <w:r>
        <w:t>The requirements indicated in sections (a) to (d) shall be defined as the "Buyer Requirements." The identity/identities, as well as the assignment agreement(s) with the Buyer/buyers, shall be submitted for prior approval by the CNC, accompanied by a reasoned and documented proposal in which EBRO will justify that the buyer meets the Buyer Requirements and the other provisions of these commitments. The CNC will verify that these requirements are met in order to proceed with the approval of the assignment.</w:t>
      </w:r>
    </w:p>
    <w:p>
      <w:r>
        <w:t>3) Deadlines for compliance with the divestment commitment</w:t>
      </w:r>
    </w:p>
    <w:p>
      <w:r>
        <w:t>1.- The disposal of the Assets subject to divestment shall be carried out according to the schedule set forth below:</w:t>
        <w:br/>
        <w:t>a) EBRO will have a maximum confidential period (the initial divestment period) to conclude binding assignment agreements with third-party operators regarding the Assets subject to divestment. Such binding assignment agreements may be agreed upon under the conditions freely negotiated by the parties, in accordance with the Resolution and competition defense regulations.</w:t>
        <w:br/>
        <w:t>b) The initial divestment period will be […].</w:t>
        <w:br/>
        <w:t>c) If EBRO has not fully complied with the Divestment Commitment by the end of the period set forth in the previous section, it will grant a mandate to an independent third party to proceed with the pending divestments ("Divestiture Trustee") in order to subscribe to the corresponding assignment contracts within a maximum confidential period (the "additional divestment period"). Simultaneously, during this period, EBRO may continue negotiating with potential buyers and conclude binding assignment agreements subject to the authorization of the CNC, under the conditions set by the CNC to avoid hindering the activity of the Divestiture Trustee and the fulfillment of its functions.</w:t>
        <w:br/>
        <w:t>d) The additional divestment period will be […].</w:t>
      </w:r>
    </w:p>
    <w:p>
      <w:r>
        <w:t>2.- It will be understood that the Divestment Commitment has been fulfilled when EBRO has signed assignment contracts regarding the Assets subject to divestment. Such contracts, which will incorporate both the relevant part of these commitments and the action plan contemplated in its section E, will be subject only to the suspensive condition of the approval of the Buyer and the contract itself, to the detailed legal and technical examination of the assets ("due diligence") and, if applicable, to the authorizations that may be required under current regulations. However, in the event that: (i) the Buyer decides not to execute the assignment contract for any Asset(s) or cannot do so and (ii) the initial divestment period is still in effect, EBRO may submit for the approval of the CNC other possible buyer(s) for the corresponding assets. In the event that the initial divestment period has expired, the corresponding assets will be sold by the Divestiture Trustee in accordance with the provisions in the following section.</w:t>
      </w:r>
    </w:p>
    <w:p>
      <w:r>
        <w:t>In the event that any circumstance arises that delays the effective execution of the Divestment Commitment under the previous conditions, EBRO will inform the CNC. Additionally, the Closing of the assignment of the Assets subject to Divestment must occur within a period not exceeding […] from the approval by the CNC of the Buyer. In the event that the Closing of the assignment must be subject to prior authorization from the competent authorities in competition defense or any other regulatory authorities or the other conditions provided in the assignment contract previously approved by the CNC, the Closing of the assignment will occur within a period of […] from the Buyer's obtaining of such authorization or from the fulfillment of such conditions.</w:t>
      </w:r>
    </w:p>
    <w:p>
      <w:r>
        <w:t>4) The Divestiture Trustee</w:t>
      </w:r>
    </w:p>
    <w:p>
      <w:r>
        <w:t>EBRO will designate, within the deadlines and according to the procedure provided in the following paragraphs, a Divestiture Trustee, who will perform the functions attributed to this figure in this document. The Divestiture Trustee:</w:t>
        <w:br/>
        <w:t>(a) will be independent of EBRO;</w:t>
        <w:br/>
        <w:t>(b) must possess the necessary qualifications to perform its mandate (for example, being an investment bank, consultant, auditor, or industry expert); and</w:t>
        <w:br/>
        <w:t>(c) must not be exposed to any conflict of interest.</w:t>
      </w:r>
    </w:p>
    <w:p>
      <w:r>
        <w:t>The remuneration of the Divestiture Trustee must be sufficient to ensure the effective and independent fulfillment of its mandate, appropriately incentivizing compliance with the deadlines of the commitments.</w:t>
      </w:r>
    </w:p>
    <w:p>
      <w:r>
        <w:t>I.- Procedure for the designation of the Divestiture Trustee</w:t>
      </w:r>
    </w:p>
    <w:p>
      <w:r>
        <w:t>No later than two months before the end of the Initial Divestment Period, EBRO will send to the CNC, for its approval, the list of the person(s) it proposes to designate as Divestiture Trustee. The proposals must contain sufficient information that allows the CNC to verify that the proposed trustee(s) meet the requirements set forth above, and must include the terms of the mandate, including all necessary measures for the Divestiture Trustee to fulfill its obligations. The proposal regarding the appointment of the Divestiture Trustee must also include a proposed plan of</w:t>
      </w:r>
    </w:p>
    <w:p>
      <w:r>
        <w:rPr>
          <w:b/>
        </w:rPr>
        <w:t>[Pages 7–9]</w:t>
      </w:r>
    </w:p>
    <w:p>
      <w:r>
        <w:t>must designate the individual or institution in question as the Divestiture Administrator, in accordance with the mandate approved by the CNC. If multiple candidates are approved, EBRO may designate any of the approved candidates. The Divestiture Administrator will be appointed within one week from the time the CNC gives its approval, in accordance with the mandate also approved by the CNC.</w:t>
      </w:r>
    </w:p>
    <w:p>
      <w:r>
        <w:t>If all candidates proposed by EBRO are rejected, EBRO must submit at least two new candidates within one week from being informed of such rejection, in accordance with the criteria established in the preceding sections.</w:t>
      </w:r>
    </w:p>
    <w:p>
      <w:r>
        <w:t>If all additional proposals for candidates for the administrator are rejected by the CNC, EBRO must appoint the candidate proposed by the CNC, and in accordance with the mandate that it proposes.</w:t>
      </w:r>
    </w:p>
    <w:p>
      <w:r>
        <w:t>II.- Functions of the Divestiture Administrator</w:t>
      </w:r>
    </w:p>
    <w:p>
      <w:r>
        <w:t>The Divestiture Administrator must assume the obligations identified in this document to ensure EBRO's compliance with the Commitments. The CNC may, on its own initiative or at the request of the Divestiture Administrator, order any measures it deems necessary to ensure compliance with the conditions and obligations included in the Decision for the purposes of divestment.</w:t>
      </w:r>
    </w:p>
    <w:p>
      <w:r>
        <w:t>During the additional divestment period, the Divestiture Administrator will transfer the Divestiture Assets to a buyer, provided that the buyer and the corresponding Binding Assignment Agreement have been approved by the CNC, in accordance with the procedure described in the preceding sections. The Divestiture Administrator will include in the Binding Assignment Agreement the terms and conditions it deems appropriate for a swift transfer during the additional divestment period. In particular, the Divestiture Administrator may include in the Binding Assignment Agreement the representations and warranties that are reasonably necessary to effectuate the transfer. The Divestiture Administrator will protect EBRO's legitimate financial interests, subject to the obligations established in the Resolution.</w:t>
      </w:r>
    </w:p>
    <w:p>
      <w:r>
        <w:t>During the additional divestment period (or at any other time if required by the CNC), the Divestiture Administrator will provide the CNC with a monthly written report detailing the status of the divestment process. The aforementioned reports must be sent within the first 15 days of the month following the one to which the report in question refers, simultaneously sending a non-confidential version of the same to EBRO.</w:t>
      </w:r>
    </w:p>
    <w:p>
      <w:r>
        <w:t>III.- Obligations of EBRO regarding the Divestiture Administrator</w:t>
      </w:r>
    </w:p>
    <w:p>
      <w:r>
        <w:t>EBRO will provide and require its advisors to provide the Divestiture Administrator with all cooperation and information reasonably necessary for the Divestiture Administrator to perform its functions. The Divestiture Administrator will have full access to all documentation and any other information about the Divestiture Assets necessary for the fulfillment of its functions. EBRO will be available to hold meetings with the Divestiture Administrator, as well as to provide the necessary information for the development of functions.</w:t>
      </w:r>
    </w:p>
    <w:p>
      <w:r>
        <w:t>EBRO will grant the Divestiture Administrator the necessary powers to effectuate the transfer and all other actions that it deems necessary or appropriate to effectuate the transfer, including the appointment of the necessary advisors in the transfer process.</w:t>
      </w:r>
    </w:p>
    <w:p>
      <w:r>
        <w:t>EBRO will exempt the Divestiture Administrator and its employees and agents from any liability to EBRO arising from the fulfillment of its functions as Divestiture Administrator in accordance with this document, unless such liability arises from negligence or bad faith of the Divestiture Administrator or its employees, agents, or advisors.</w:t>
      </w:r>
    </w:p>
    <w:p>
      <w:r>
        <w:t>EBRO must bear the costs incurred by the Divestiture Administrator as a result of the appointment of the advisors that it deems necessary to fulfill its obligations, provided that such costs are reasonable and provided that the appointment of such advisors is approved by EBRO, which may not deny it without justification. If EBRO does not approve the advisors proposed by the Divestiture Administrator, they may be approved by the CNC, after hearing EBRO.</w:t>
      </w:r>
    </w:p>
    <w:p>
      <w:r>
        <w:t>Only the Divestiture Administrator may give instructions to the advisors, to whom the content of the previous paragraph will apply. In the additional divestment period, the Divestiture Administrator may use the advisors who advised EBRO during the initial divestment period, if deemed appropriate in the interest of the divestment process.</w:t>
      </w:r>
    </w:p>
    <w:p>
      <w:r>
        <w:t>IV.- Replacement, release, and new appointment of the Divestiture Administrator</w:t>
      </w:r>
    </w:p>
    <w:p>
      <w:r>
        <w:t>If the Divestiture Administrator fails to fulfill the functions provided in this document or if there is another legitimate reason, including the existence of a conflict of interest:</w:t>
      </w:r>
    </w:p>
    <w:p>
      <w:r>
        <w:t>(a) The CNC may, after hearing the Divestiture Administrator, require EBRO to replace it; or</w:t>
      </w:r>
    </w:p>
    <w:p>
      <w:r>
        <w:t>(b) EBRO may, with the prior approval of the CNC, replace the Divestiture Administrator.</w:t>
      </w:r>
    </w:p>
    <w:p>
      <w:r>
        <w:t>If the Divestiture Administrator is replaced in accordance with the previous paragraph, it may be required to continue performing its functions until it has provided the new Divestiture Administrator with all relevant information necessary for the fulfillment of its obligations. The new Divestiture Administrator will be appointed in accordance with the procedure set forth in the preceding paragraphs.</w:t>
      </w:r>
    </w:p>
    <w:p>
      <w:r>
        <w:t>Except as provided in the preceding paragraphs, the Divestiture Administrator will only cease to perform its functions when the CNC releases it from its obligations, once the transfer of the Divestiture Assets entrusted to it has occurred.</w:t>
      </w:r>
    </w:p>
    <w:p>
      <w:r>
        <w:t>5) Maintenance of the viability, marketability, and competitiveness of the divestiture assets.</w:t>
      </w:r>
    </w:p>
    <w:p>
      <w:r>
        <w:t>During the transitional period between EBRO's acquisition of the assets of DEOLEO and the disposal of the Divestiture Assets, the management of the businesses operated under the Divestiture Assets and the NOMEN brand will be entrusted to a Divestiture Manager.</w:t>
      </w:r>
    </w:p>
    <w:p>
      <w:r>
        <w:t>Divestiture Manager:</w:t>
        <w:br/>
        <w:t>(a) will be independent of EBRO;</w:t>
        <w:br/>
        <w:t>(b) must possess the necessary qualifications to perform its mandate (for example, be a business administrator, consultant, auditor, or industry expert); and</w:t>
        <w:br/>
        <w:t>(c) must not be exposed to any conflict of interest.</w:t>
      </w:r>
    </w:p>
    <w:p>
      <w:r>
        <w:t>The remuneration of the Divestiture Manager must be sufficient to ensure the effective and independent fulfillment of its mandate.</w:t>
      </w:r>
    </w:p>
    <w:p>
      <w:r>
        <w:t>I.- Procedure for the appointment of the Divestiture Manager</w:t>
      </w:r>
    </w:p>
    <w:p>
      <w:r>
        <w:t>No later than at the time of submitting the Action Plan, EBRO will send to the CNC, for its approval, the list of the person(s) it proposes to appoint as Divestiture Manager. The proposals must contain sufficient information to allow the CNC to verify that the proposed candidate(s) meet the requirements set forth above, and must include the terms of the mandate, including all necessary measures for the Divestiture Manager to fulfill its obligations. The proposal will also include a proposed work plan describing how the Divestiture Manager intends to perform its functions.</w:t>
      </w:r>
    </w:p>
    <w:p>
      <w:r>
        <w:t>The CNC will have discretion to approve or reject the proposed Divestiture Manager(s) with justification, as well as the corresponding mandate, which may be modified to enable the Divestiture Manager to fulfill its functions. If only one candidate is approved, EBRO must designate the individual or institution in question as the Divestiture Manager, in accordance with the mandate approved by the CNC. If multiple candidates are approved, EBRO may designate any of the approved candidates.</w:t>
      </w:r>
    </w:p>
    <w:p>
      <w:r>
        <w:rPr>
          <w:b/>
        </w:rPr>
        <w:t>[Pages 10–12]</w:t>
      </w:r>
    </w:p>
    <w:p>
      <w:r>
        <w:t>designate as the Divestiture Administrator the individual or institution in question, in accordance with the mandate approved by the CNC. If several candidates are approved, EBRO may designate any of those approved. The Divestiture Administrator shall be appointed within one week from the time the CNC gives its approval, in accordance with the mandate also approved by it and, in any case, prior to the execution of the operation.</w:t>
      </w:r>
    </w:p>
    <w:p>
      <w:r>
        <w:t>If all candidates proposed by EBRO are rejected, EBRO must submit at least two new candidates within one week from being informed of such rejection, in accordance with the criteria established in the preceding sections.</w:t>
      </w:r>
    </w:p>
    <w:p>
      <w:r>
        <w:t>If all additional proposals for candidates for Administrator are rejected by the CNC, EBRO must appoint as Divestiture Administrator the candidate proposed by the CNC, and in accordance with the mandate that it proposes.</w:t>
      </w:r>
    </w:p>
    <w:p>
      <w:r>
        <w:t>II.- Functions of the Divestiture Administrator</w:t>
      </w:r>
    </w:p>
    <w:p>
      <w:r>
        <w:t>The Divestiture Administrator will decide on the operation of the businesses marketed under the Assets and the NOMEN brand in all matters related to its commercial policy, including the selling prices of the various references, offers, contracts with distributors, and others determined by the action plan decisions that may jeopardize the future autonomous management and the guarantee of maintaining the value of the mentioned assets and brand.</w:t>
      </w:r>
    </w:p>
    <w:p>
      <w:r>
        <w:t>The CNC may, on its own initiative, or at the request of the Divestiture Administrator, order any measures it deems necessary to ensure compliance with the conditions and obligations included for the purposes of divestment in the Decision.</w:t>
      </w:r>
    </w:p>
    <w:p>
      <w:r>
        <w:t>The Divestiture Administrator will provide the CNC with a monthly written report detailing the status of the administration process. The aforementioned reports must be sent within the first 15 days of the month following the one to which the report in question refers, simultaneously sending a non-confidential version of the same to EBRO.</w:t>
      </w:r>
    </w:p>
    <w:p>
      <w:r>
        <w:t>III.- Obligations of EBRO regarding the Divestiture Administrator</w:t>
      </w:r>
    </w:p>
    <w:p>
      <w:r>
        <w:t>EBRO will provide and require its advisors to provide the Divestiture Administrator with all cooperation and information reasonably necessary for the Divestiture Administrator to perform its functions.</w:t>
      </w:r>
    </w:p>
    <w:p>
      <w:r>
        <w:t>The Divestiture Administrator will have full access to all documentation and any other information about the businesses operated under the Divestiture Assets and the NOMEN brand that is necessary for the fulfillment of its functions. EBRO will be available to hold meetings with the Divestiture Administrator, as well as to provide the necessary information for the development of its functions.</w:t>
      </w:r>
    </w:p>
    <w:p>
      <w:r>
        <w:t>EBRO will grant the Divestiture Administrator the necessary powers to manage the businesses operated under the Assets and the NOMEN brand. EBRO will exempt the Divestiture Administrator and its employees and agents from any liability to EBRO arising from the fulfillment of their functions as Divestiture Administrator in accordance with this document, unless such liability arises from negligence or bad faith of the Divestiture Administrator or its employees, agents, or advisors.</w:t>
      </w:r>
    </w:p>
    <w:p>
      <w:r>
        <w:t>EBRO must bear the costs incurred by the Divestiture Administrator as a result of the appointment of the advisors that it considers necessary to fulfill its obligations, provided that such costs are reasonable and provided that the appointment of such advisors is approved by EBRO, which may not deny it without justification. If EBRO does not approve the advisors proposed by the Divestiture Administrator, they may be approved by the CNC, after hearing EBRO.</w:t>
      </w:r>
    </w:p>
    <w:p>
      <w:r>
        <w:t>Only the Divestiture Administrator may give instructions to the advisors, to whom the content of the previous paragraph will apply.</w:t>
      </w:r>
    </w:p>
    <w:p>
      <w:r>
        <w:t>IV. Replacement, release, and new appointment of the Divestiture Administrator</w:t>
      </w:r>
    </w:p>
    <w:p>
      <w:r>
        <w:t xml:space="preserve">If the Divestiture Administrator fails to fulfill the functions provided in this document or if there is another legitimate reason, including the existence of a conflict of interest: </w:t>
        <w:br/>
        <w:t xml:space="preserve">(a) The CNC may, after hearing the Divestiture Administrator, require EBRO to replace it; or </w:t>
        <w:br/>
        <w:t>(b) EBRO may, with prior approval from the CNC, replace the Divestiture Administrator.</w:t>
      </w:r>
    </w:p>
    <w:p>
      <w:r>
        <w:t>If the Divestiture Administrator is replaced in accordance with the previous paragraph, they may be required to continue performing their functions until they have provided the new Divestiture Administrator with all relevant information for the fulfillment of their obligations. The new Divestiture Administrator will be appointed in accordance with the procedure set forth in the previous paragraphs.</w:t>
      </w:r>
    </w:p>
    <w:p>
      <w:r>
        <w:t>Except as provided in the preceding paragraphs, the Divestiture Administrator will only cease to perform their functions when the CNC releases them from their obligations, once the transfer of the Divestiture Assets has taken place.</w:t>
      </w:r>
    </w:p>
    <w:p>
      <w:r>
        <w:t>SECTION C. OBLIGATIONS TO INFORM THE CNC</w:t>
      </w:r>
    </w:p>
    <w:p>
      <w:r>
        <w:t>In addition to the reports that must be issued by the Divestiture Administrator and, where applicable, the Divestiture Trustee, EBRO will send to the CNC monthly reports related to compliance with each and every one of the Commitments, until the CNC declares the monitoring of the Resolution to be concluded.</w:t>
      </w:r>
    </w:p>
    <w:p>
      <w:r>
        <w:t>SECTION D. ACTION PLAN</w:t>
      </w:r>
    </w:p>
    <w:p>
      <w:r>
        <w:t>Within a maximum period of 20 days from the entry into force of the Resolution, EBRO will present to the CNC a detailed confidential action plan for the implementation of each and every one of the previous Commitments. The CNC may publish a non-confidential version of said action plan.</w:t>
      </w:r>
    </w:p>
    <w:p>
      <w:r>
        <w:t>SECTION E. REVIEW CLAUSE</w:t>
      </w:r>
    </w:p>
    <w:p>
      <w:r>
        <w:t xml:space="preserve">The CNC may, when it deems appropriate, at the motivated request of EBRO: </w:t>
        <w:br/>
        <w:t xml:space="preserve">(i) agree, in light of the concurrent circumstances, to extend the maximum deadlines for divestment established in this condition, or </w:t>
        <w:br/>
        <w:t>(ii) exceptionally, grant a waiver, modify or replace one or some of the commitments contemplated in this document.</w:t>
      </w:r>
    </w:p>
    <w:p>
      <w:r>
        <w:t>The Investigation Directorate, once it has identified the problems that the notified concentration operation could pose for effective competition in the affected markets, in its proposal to the Council of the CNC, has assessed that the commitments proposed by the notifier justify its proposal for authorization of the operation subject to compliance with the commitments presented.</w:t>
      </w:r>
    </w:p>
    <w:p>
      <w:r>
        <w:t>Third.- The Council, having reviewed the processed file and analyzed the report submitted to it by the Investigation Directorate regarding the operation, agrees with the assessment contained in that report regarding the risks to effective competition in the relevant markets affected by the notified operation, as well as with the proposed resolution raised by the Investigation Directorate, considering that the set of commitments presented by EBRO is sufficient and proportionate to eliminate the possible risks of hindering effective competition arising from the concentration operation subject to analysis.</w:t>
      </w:r>
    </w:p>
    <w:p>
      <w:r>
        <w:t>Fourth.- The proper execution of the commitments requires the approval by the CNC of an Action Plan for the implementation of each and every one of these commitments within the deadlines and conditions provided in section D) of the agreed commitments.</w:t>
      </w:r>
    </w:p>
    <w:p>
      <w:r>
        <w:t>Fifth.- In order to ensure the effectiveness of the commitments, the CNC must oversee their proper execution, in the terms regulated in Article 41.1 of the LDC. In order to monitor compliance with the obligations that would arise from the commitments proposed by EBRO contained in this Resolution, particularly regarding the divestment commitments and exclusive licensing of the brand, the CNC must ensure that the buyer or buyers of the assets and the licensee are suitable to resolve the identified competition problems.</w:t>
      </w:r>
    </w:p>
    <w:p>
      <w:r>
        <w:t>Non-compliance with the provisions of this Resolution will be considered a very serious infringement and may, in its case, entail the sanctions provided for in the LDC.</w:t>
      </w:r>
    </w:p>
    <w:p>
      <w:r>
        <w:t>For all of which, having regard to the cited legal provisions and those of general application, the Council of the National Competition Commission,</w:t>
      </w:r>
    </w:p>
    <w:p>
      <w:r>
        <w:rPr>
          <w:b/>
        </w:rPr>
        <w:t>[Pages 13–13]</w:t>
      </w:r>
    </w:p>
    <w:p>
      <w:r>
        <w:t>HAS RESOLVED</w:t>
      </w:r>
    </w:p>
    <w:p>
      <w:r>
        <w:t>FIRST.- In application of Article 57.2.b) of Law 15/2007, to condition the authorization of the concentration on the fulfillment of the commitments proposed by the notifying party as set forth in the Second Legal Basis.</w:t>
      </w:r>
    </w:p>
    <w:p>
      <w:r>
        <w:t>SECOND.- To grant EBRO a period of twenty (20) days from the date this Resolution has been notified, to present to the CNC a detailed confidential action plan for the implementation of the commitments contained therein. Within a maximum period of twenty (20) days from its receipt, this plan must be approved by the CNC, which may introduce any modifications it deems appropriate for the proper fulfillment of the commitments of this Agreement.</w:t>
      </w:r>
    </w:p>
    <w:p>
      <w:r>
        <w:t>THIRD.- To subject the disposal of the assets to be divested and the exclusive license for brand use to prior authorization by the CNC, which will assess the suitability of the buyer or buyers and licensee proposed by EBRO based on compliance with the requirements detailed in the submitted commitments. This approval of the buyer and licensee by the CNC is understood without prejudice to the authorizations that may be mandatory under current regulations and, in particular, those arising, if applicable, from the control of business concentrations by the corresponding competition authorities.</w:t>
      </w:r>
    </w:p>
    <w:p>
      <w:r>
        <w:t>FOURTH.- To entrust the Investigation Directorate with the monitoring of this Resolution in accordance with the provisions of Article 35.2.c) of the LDC.</w:t>
      </w:r>
    </w:p>
    <w:p>
      <w:r>
        <w:t>FIFTH.- The non-compliance with the provisions of this Resolution is considered a very serious infringement in accordance with Article 62 of the LDC, which may result in the sanctions provided for in Articles 63 and 67 thereof.</w:t>
      </w:r>
    </w:p>
    <w:p>
      <w:r>
        <w:t>This Resolution shall be communicated to the Investigation Directorate of the CNC and to the notifying party, informing them that an administrative contentious appeal may be filed against this Resolution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