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https://www.cnmc.es/expedientes/c035511</w:t>
      </w:r>
    </w:p>
    <w:p>
      <w:r>
        <w:t>Pages translated : 1</w:t>
      </w:r>
    </w:p>
    <w:p/>
    <w:p>
      <w:r>
        <w:rPr>
          <w:b/>
        </w:rPr>
        <w:t>[Pages 1–1]</w:t>
      </w:r>
    </w:p>
    <w:p>
      <w:r>
        <w:t>RESOLUTION (Case File C-0355/11, LION CAPITAL/ARDO ASSETS/BONDUELLE ASSETS)</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May 18, 2011.</w:t>
      </w:r>
    </w:p>
    <w:p>
      <w:r>
        <w:t>Having reviewed the case file processed in accordance with Law 15/2007, of July 3, on the Defense of Competition, concerning the acquisition by LION CAPITAL LLP, through the business group FINDUS, of certain assets of ARDOVRIES ESPAÑA S.A. and certain assets of the BONDUELLE GROUP in the frozen food sector (Case File C/0355/11),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non-compete clause exceeding three years, the contracts between Findus and the Joint Venture for the manufacture, packaging, and supply of the products to be marketed by Findus in Spain and Portugal, and the contracts for storage, distribution, and logistics services, which are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