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https://www.cnmc.es/expedientes/c035611</w:t>
      </w:r>
    </w:p>
    <w:p>
      <w:r>
        <w:t>Pages translated : 1</w:t>
      </w:r>
    </w:p>
    <w:p/>
    <w:p>
      <w:r>
        <w:rPr>
          <w:b/>
        </w:rPr>
        <w:t>[Pages 1–1]</w:t>
      </w:r>
    </w:p>
    <w:p>
      <w:r>
        <w:t>RESOLUTION (File No. C-0356/11, MUTUA MADRILEÑA/LA CAIXA/VIDACAIXA ADESLAS)</w:t>
      </w:r>
    </w:p>
    <w:p>
      <w:r>
        <w:t>COUNCIL</w:t>
      </w:r>
    </w:p>
    <w:p>
      <w:r>
        <w:t xml:space="preserve">Mr. Luis Berenguer Fuster, President  </w:t>
        <w:br/>
        <w:t xml:space="preserve">Ms. Pilar Sánchez Núñez, Vice President  </w:t>
        <w:br/>
        <w:t xml:space="preserve">Mr. Julio Costas Comesaña, Council Member  </w:t>
        <w:br/>
        <w:t xml:space="preserve">Ms. Mª Jesús González López, Council Member  </w:t>
        <w:br/>
        <w:t>Ms. Inmaculada Gutiérrez Carrizo, Council Member</w:t>
      </w:r>
    </w:p>
    <w:p>
      <w:r>
        <w:t>In Madrid, on June 29, 2011.</w:t>
      </w:r>
    </w:p>
    <w:p>
      <w:r>
        <w:t>Having reviewed the file processed in accordance with Law 15/2007, of July 3, on the Defense of Competition, regarding the joint control acquisition of VIDACAIXA ADESLAS S.A. DE SEGUROS GENERALES Y REASEGUROS by MUTUA MADRILEÑA AUTOMOVILISTA SOCIEDAD DE SEGUROS A PRIMA FIJA and CAIXA D’ESTALVIS I PENSIONS DE BARCELONA, through CRITERIA CAIXA CORP S.A. (File No. C/0356/11), and in agreement with the report and proposal submitted by the Investigation Directorate, the Council of the National Competition Commission has resolved, in application of Article 57.2.a) of the aforementioned Law, to authorize the said concentration operation in the first phase, except with respect to the distribution agreements between LA CAIXA and VIDACAIXA ADESLAS, the non-competition agreement established between MUTUA MADRILEÑA, LA CAIXA, and VIDACAIXA ADESLAS, and the service provision contracts between ADESLAS and MUTUA MADRILEÑA, VIDACAIXA ADESLAS and LA CAIXA, and MUTUA MADRILEÑA and LA CAIXA, which are subject to the regulations on agreements between companies under the terms provided in point III of the aforementioned report and proposal.</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