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https://www.cnmc.es/expedientes/c035811</w:t>
      </w:r>
    </w:p>
    <w:p>
      <w:r>
        <w:t>Pages translated : 1</w:t>
      </w:r>
    </w:p>
    <w:p/>
    <w:p>
      <w:r>
        <w:rPr>
          <w:b/>
        </w:rPr>
        <w:t>[Pages 1–1]</w:t>
      </w:r>
    </w:p>
    <w:p>
      <w:r>
        <w:t>RESOLUTION (File C-0358/11, SONAE RETAIL/PC CITY ASSETS)</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May 25, 2011.</w:t>
      </w:r>
    </w:p>
    <w:p>
      <w:r>
        <w:t>Having reviewed the file processed in accordance with Law 15/2007, of July 3, on the Defense of Competition, concerning the acquisition of exclusive control of certain assets of PC CITY SPAIN S.A.U. by SONAE SPECIALIZED RETAIL SGPS S.A. (File C/0358/11), and in agreement with the report and proposal submitted by the Investigation Directorate, the Council of the National Competition Commission has resolved, pursuant to article 57.2.a) of the aforementioned Law, to authorize the aforementioned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