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https://www.cnmc.es/expedientes/c035911</w:t>
      </w:r>
    </w:p>
    <w:p>
      <w:r>
        <w:t>Pages translated : 1</w:t>
      </w:r>
    </w:p>
    <w:p/>
    <w:p>
      <w:r>
        <w:rPr>
          <w:b/>
        </w:rPr>
        <w:t>[Pages 1–1]</w:t>
      </w:r>
    </w:p>
    <w:p>
      <w:r>
        <w:t>RESOLUTION (File C-0359/11, EQT/ACCIONA APARCAMIENTOS)</w:t>
        <w:br/>
        <w:t>COUNCIL</w:t>
        <w:br/>
        <w:t>Mr. Luis Berenguer Fuster, President</w:t>
        <w:br/>
        <w:t>Ms. Pilar Sánchez Núñez, Vice President</w:t>
        <w:br/>
        <w:t>Mr. Julio Costas Comesaña, Councilor</w:t>
        <w:br/>
        <w:t>Ms. Mª Jesús González López, Councilor</w:t>
        <w:br/>
        <w:t>Ms. Inmaculada Gutiérrez Carrizo, Councilor</w:t>
        <w:br/>
        <w:t>In Madrid, on June 15, 2011.</w:t>
        <w:br/>
        <w:t>Having reviewed the file processed in accordance with Law 15/2007, of July 3, on the Defense of Competition, regarding the acquisition by the investment fund company EQT INFRASTRUCTURE LTD. of the company ACCIONA APARCAMIENTOS S.L. through the purchase of 100% of its shares, (File C/0359/11),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