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https://www.cnmc.es/expedientes/c036011</w:t>
      </w:r>
    </w:p>
    <w:p>
      <w:r>
        <w:t>Pages translated : 1</w:t>
      </w:r>
    </w:p>
    <w:p/>
    <w:p>
      <w:r>
        <w:rPr>
          <w:b/>
        </w:rPr>
        <w:t>[Pages 1–1]</w:t>
      </w:r>
    </w:p>
    <w:p>
      <w:r>
        <w:t xml:space="preserve">RESOLUTION (File No. C-0360/11, APOLLO/MBNA SPAIN)  </w:t>
        <w:br/>
        <w:t xml:space="preserve">COUNCIL  </w:t>
        <w:br/>
        <w:t xml:space="preserve">Mr. Luis Berenguer Fuster, President  </w:t>
        <w:br/>
        <w:t xml:space="preserve">Ms. Pilar Sánchez Núñez, Vice President  </w:t>
        <w:br/>
        <w:t xml:space="preserve">Mr. Julio Costas Comesaña, Counselor  </w:t>
        <w:br/>
        <w:t xml:space="preserve">Ms. Mª Jesús González López, Counselor  </w:t>
        <w:br/>
        <w:t xml:space="preserve">Ms. Inmaculada Gutiérrez Carrizo, Counselor  </w:t>
        <w:br/>
        <w:t>In Madrid, on July 27, 2011.</w:t>
      </w:r>
    </w:p>
    <w:p>
      <w:r>
        <w:t>Having reviewed the file processed in accordance with Law 15/2007, of July 3, on the Defense of Competition, concerning the acquisition by the investment fund APOLLO EUROPEAN PRINCIPAL FINANCE FUND L.P. of the assets comprising the payment card and consumer loan business carried out by the Spanish Branch of MBNA EUROPE BANK LIMITED (File No. C/0360/11), and in agreement with the report and proposal submitted by the Investigation Directorate, the Council of the National Competition Commission has resolved, in application of Article 57.2 a) of the aforementioned Law, to authorize the said concentration operation in the first phase.</w:t>
      </w:r>
    </w:p>
    <w:p>
      <w:r>
        <w:t xml:space="preserve">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