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https://www.cnmc.es/expedientes/c036111</w:t>
      </w:r>
    </w:p>
    <w:p>
      <w:r>
        <w:t>Pages translated : 1</w:t>
      </w:r>
    </w:p>
    <w:p/>
    <w:p>
      <w:r>
        <w:rPr>
          <w:b/>
        </w:rPr>
        <w:t>[Pages 1–1]</w:t>
      </w:r>
    </w:p>
    <w:p>
      <w:r>
        <w:t xml:space="preserve">RESOLUTION (File C-0361/11, ATLAS COPCO/AES)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June 22, 2011.</w:t>
      </w:r>
    </w:p>
    <w:p>
      <w:r>
        <w:t>Having reviewed the file processed in accordance with Law 15/2007, of July 3, on the Defense of Competition, concerning the acquisition by AIRE COMPRIMIDO INDUSTRIAL IBERIA S.L. of 100% of the share capital of the companies SOGIMAIR S.A. (SOGIMAIR) and AIRE COMPRIMIDO S.A. (AIRCOMSA), both companies participated by the same shareholders, (File C/0361/11),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 xml:space="preserve">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