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https://www.cnmc.es/expedientes/c036311</w:t>
      </w:r>
    </w:p>
    <w:p>
      <w:r>
        <w:t>Pages translated : 1</w:t>
      </w:r>
    </w:p>
    <w:p/>
    <w:p>
      <w:r>
        <w:rPr>
          <w:b/>
        </w:rPr>
        <w:t>[Pages 1–1]</w:t>
      </w:r>
    </w:p>
    <w:p>
      <w:r>
        <w:t>RESOLUTION (File No. C-0363/11 KLEIN PARTNERS/HYPERCOM SPAIN</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November 20, 2012.</w:t>
        <w:br/>
        <w:t>Having reviewed the file processed in accordance with Law 15/2007, of July 3, on the Defense of Competition, regarding the concentration operation consisting of the acquisition by Klein Partners Capital Corporation (KLEIN PARTNERS) of exclusive control over Hypercom Spain, S.A. (HYPERCOM SPAIN). (File No. C/0363/11), and in agreement with the report and proposal submitted by the Directorate of Investigation, the Council of the National Commission of Competition has resolved, in application of Article 57.2.e) of the aforementioned Law, to archive the proceedings as the assumption contemplated in Article 44.b) of the said Law is met.</w:t>
        <w:br/>
        <w:t>This Resolution shall be communicated to the Directorate of Investigation of the National Commission of Competition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