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https://www.cnmc.es/expedientes/c036711</w:t>
      </w:r>
    </w:p>
    <w:p>
      <w:r>
        <w:t>Pages translated : 1</w:t>
      </w:r>
    </w:p>
    <w:p/>
    <w:p>
      <w:r>
        <w:rPr>
          <w:b/>
        </w:rPr>
        <w:t>[Pages 1–1]</w:t>
      </w:r>
    </w:p>
    <w:p>
      <w:r>
        <w:t xml:space="preserve">RESOLUTION (File No. C-0367/11, LECLERC/EROSKI ASSETS)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July 20, 2011.</w:t>
      </w:r>
    </w:p>
    <w:p>
      <w:r>
        <w:t>Having reviewed the file processed in accordance with Law 15/2007, of July 3, on the Defense of Competition, concerning the acquisition by UNILEC S.A., integrated into the E.LECLERC COOPERATIVE MOVEMENT through its subsidiaries PINATARDIS S.L. and SOFIESPA S.L., from EROSKI COOPERATIVE SOCIETY of the business of seven hypermarkets in the Community of Madrid and the real estate assets related to the operation of three hypermarkets in Alcobendas, Carabanchel, and Pinto, including the land and the operation of the service stations of the last two (File No. C/0367/11), and agreeing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geographical scope of the non-competition and non-solicitation clauses, which, to the extent that they exceed a radius of ten kilometers from each of the hypermarkets subject to the concentration operation, would be subject to the regulations on agreements between companies.</w:t>
      </w:r>
    </w:p>
    <w:p>
      <w: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