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https://www.cnmc.es/expedientes/c037011</w:t>
      </w:r>
    </w:p>
    <w:p>
      <w:r>
        <w:t>Pages translated : 1</w:t>
      </w:r>
    </w:p>
    <w:p/>
    <w:p>
      <w:r>
        <w:rPr>
          <w:b/>
        </w:rPr>
        <w:t>[Pages 1–1]</w:t>
      </w:r>
    </w:p>
    <w:p>
      <w:r>
        <w:t>RESOLUTION (File C-0370/11, MAPFRE/SYNDICATED SHAREHOLDERS/ FUNESPAÑA)</w:t>
      </w:r>
    </w:p>
    <w:p>
      <w:r>
        <w:t>COUNCIL</w:t>
        <w:br/>
        <w:t>Mr. Luis Berenguer Fuster, President</w:t>
        <w:br/>
        <w:t>Ms. Pilar Sánchez Núñez, Vice President</w:t>
        <w:br/>
        <w:t>Mr. Julio Costas Comesaña, Counselor</w:t>
        <w:br/>
        <w:t>Ms. Mª Jesús González López, Counselor</w:t>
        <w:br/>
        <w:t>Ms. Inmaculada Gutiérrez Carrizo, Counselor</w:t>
      </w:r>
    </w:p>
    <w:p>
      <w:r>
        <w:t>In Madrid, on July 27, 2011.</w:t>
      </w:r>
    </w:p>
    <w:p>
      <w:r>
        <w:t>Having reviewed the file processed in accordance with Law 15/2007, of July 3, on the Defense of Competition, concerning the joint control acquisition of FUNESPAÑA S.A. by MAPFRE FAMILIAR COMPAÑÍA DE SEGUROS Y REASEGUROS S.A., a subsidiary of the MAPFRE group, and a group of four individual shareholders of the entity (File C/0370/11), and in agreement with the report and proposal submitted by the Investigation Directorate, the Council of the National Competition Commission has resolved, pursuant to Article 57.2.a) of the aforementioned Law, to authorize the said concentration operation in the first phase, except with respect to the non-competition agreement that goes beyond what is reasonably required by the notified concentration operation, which shall not be considered an integral part of it.</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