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https://www.cnmc.es/expedientes/c037111</w:t>
      </w:r>
    </w:p>
    <w:p>
      <w:r>
        <w:t>Pages translated : 1</w:t>
      </w:r>
    </w:p>
    <w:p/>
    <w:p>
      <w:r>
        <w:rPr>
          <w:b/>
        </w:rPr>
        <w:t>[Pages 1–1]</w:t>
      </w:r>
    </w:p>
    <w:p>
      <w:r>
        <w:t>RESOLUTION (File No. C-0371/11, NMAS1/RYMSA/TELTRONIC)</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July 13, 2011.</w:t>
      </w:r>
    </w:p>
    <w:p>
      <w:r>
        <w:t>Having reviewed the file processed in accordance with Law 15/2007, of July 3, on the Defense of Competition, concerning the acquisition by the NMAS1 GROUP of exclusive control over the companies RADIACIONES Y MICROONDAS S.A. and TELTRONIC S.A. (File No. C/0371/11), and in agreement with the report and proposal submitted by the Investigation Directorate, the Council of the National Competition Commission has resolved, pursuant to Article 57.2 a) of the aforementioned Law, to authorize the cited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