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https://www.cnmc.es/expedientes/c037311</w:t>
      </w:r>
    </w:p>
    <w:p>
      <w:r>
        <w:t>Pages translated : 1</w:t>
      </w:r>
    </w:p>
    <w:p/>
    <w:p>
      <w:r>
        <w:rPr>
          <w:b/>
        </w:rPr>
        <w:t>[Pages 1–1]</w:t>
      </w:r>
    </w:p>
    <w:p>
      <w:r>
        <w:t>RESOLUTION (File No. C-0373/11, LA CAIXA/VIANA/PROA/SABA)</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August 23, 2011.</w:t>
      </w:r>
    </w:p>
    <w:p>
      <w:r>
        <w:t>Having reviewed the file processed in accordance with Law 15/2007, of July 3, on the Defense of Competition, concerning the acquisition by the companies CAIXA D’ESTALVIS I PENSIONS DE BARCELONA S.A., VIANA SPE S.L., and PROA CAPITAL DE INVERSIONES SGECR S.A. of joint control of the company SABA INFRAESTRUCTURAS S.A. (File No. C/0373/11),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duration of the non-compete agreement which, to the extent that it exceeds three years, is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