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https://www.cnmc.es/expedientes/c037411</w:t>
      </w:r>
    </w:p>
    <w:p>
      <w:r>
        <w:t>Pages translated : 1</w:t>
      </w:r>
    </w:p>
    <w:p/>
    <w:p>
      <w:r>
        <w:rPr>
          <w:b/>
        </w:rPr>
        <w:t>[Pages 1–1]</w:t>
      </w:r>
    </w:p>
    <w:p>
      <w:r>
        <w:t>RESOLUTION (File C-0374/11, CAPIO/ACTIVOS HOSPITALARIOS GRUPO ALIANÇA)</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July 27, 2011.</w:t>
      </w:r>
    </w:p>
    <w:p>
      <w:r>
        <w:t>Having reviewed the file processed in accordance with Law 15/2007, of July 3, on the Defense of Competition, concerning the acquisition by CAPIO SANIDAD S.L. of the Hospital Sagrado Corazón and the Clínica del Vallés, owned by GRUPO ALIANÇA (File C/0374/11), and in agreement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service supply contract which, to the extent that it exceeds the seller's protection to guarantee a certain level of demand for the acquired assets over a period not exceeding five years, is not considered accessory to the operation nor should it be understood as authorized with it, being subject to the applicable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