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https://www.cnmc.es/expedientes/c037611</w:t>
      </w:r>
    </w:p>
    <w:p>
      <w:r>
        <w:t>Pages translated : 2</w:t>
      </w:r>
    </w:p>
    <w:p/>
    <w:p>
      <w:r>
        <w:rPr>
          <w:b/>
        </w:rPr>
        <w:t>[Pages 1–2]</w:t>
      </w:r>
    </w:p>
    <w:p>
      <w:r>
        <w:t>DIRECTORATE OF INVESTIGATION REPORT AND PROPOSAL FOR RESOLUTION FILE C/0376/11 MCH/SEGUR/HORTUS MUNDI I. BACKGROUND (1) On August 2, 2011, the National Competition Commission (CNC) received a notification regarding the acquisition by MCH PRIVATE EQUITY INVESTMENTS SGECR, S.A. (“MCH”) of exclusive control over the companies that make up the Segur Ibérica Group (“SEGUR”) and the Hortus Mundi Group (“HORTUS MUNDI”), through the takeover of the parent companies of these groups: Segur Ibérica, S.A. and Hortus Mundi, S.L. (2) The operation is structured through the framework agreement signed on July 29, 2011, between the various shareholders of SEGUR and HORTUS MUNDI, by which MCH will acquire, through its subsidiary MCH Iberian Capital Fund III. F.C.R. de Régimen Simplificado, a majority stake in the parent companies of SEGUR and HORTUS, which will grant it exclusive control over both groups. (3) The deadline to agree to initiate the second phase of the procedure is September 2, 2011, inclusive. After this date, the notified operation will be considered tacitly authorized. II. APPLICABILITY OF LAW 15/2007 ON COMPETITION DEFENSE (4) The notified operation is an economic concentration in the sense of Article 7.1.b) of Law 15/2007, of July 3, on Competition Defense (LDC). (5) The operation is not of community dimension, as it does not reach the thresholds established in paragraphs 2 and 3 of Article 1 of Regulation (EC) No. 139/2004 of the Council, of January 20, 2004, on the control of concentrations between companies. (6) The notified operation meets the requirements set forth by the LDC, as it exceeds the threshold established in Article 8.1.b) of the same, and meets the requirements set forth in Article 56.1a) of the aforementioned regulation for processing through a simplified form. III. PARTICIPATING COMPANIES (7) MCH PRIVATE EQUITY INVESTMENTS SGECR, S.A. (“MCH”): It is a Spanish company 100% owned by Linschoten, S.L., which manages the venture capital funds MCH Iberian Capital Fund II and III. (8) Fund II controls the companies: Remolcadores de Puerto y Altura, S.A.; Gamo Outdoor, S.L.; Industrias Hidráulicas Pardo, S.A.; Parkare Group, S.L.; Nutricafés-Cafes e Restauraçao, S.A. and IQAP Masterbatch Group, S.L. DIRECTORATE OF INVESTIGATION (9) Fund III controls the companies Sea Solutions Conservera, S.L., Televida Servicios Sociosanitarios, S.A. and Hogar Servicios Sociosanitarios, S.A. (10) According to the notifier, none of the companies controlled by MCH are active in the markets in which the acquired company operates (with the sole exception of the minority stakes that MCH already held in SEGUR and HORTUS MUNDI) nor in related vertical or horizontal markets concerning the activities of the acquired companies. (11) SEGUR IBÉRICA GROUP (“SEGUR”) has as its main activity the provision of surveillance and advisory services within the field of private security and is composed of the companies Segur Ibérica, S.A., Consorcio de Servicios, S.A.U., Segur Control, S.A.U. and Segur Fuego 2005, S.L. (12) HORTUS MUNDI GROUP (“HORTUS MUNDI”) is composed of Hortus Mundi, S.L., a holding company and its two dependent companies. Thus, Hortus Mundi, S.L. holds a 100% stake in the share capital of EAS Tecno System, S.L.U., which, in turn, holds a 100% stake in the company EAS Tecno Services, S.L.U. The main activity of this group is the provision of surveillance and advisory services within the field of private security. IV. VALUATION (13) This Directorate of Investigation considers that the notified concentration operation does not pose a threat to effective competition in the markets, as MCH will take the position of SEGUR and HORTUS MUNDI in the various markets of the private security sector in which both operate, without exceeding 10% market share in any reasonable scenario, and there are also significant alternative suppliers. (14) Additionally, according to the data provided by the notifier, there are no other related markets in which MCH is active. V. PROPOSAL In light of all the above and by virtue of Article 57.1 of Law 15/2007, of July 3, on Competition Defense, it is proposed to authorize the concentration, in application of Article 57.2.a) of Law 15/2007, of July 3, on Competition Defense.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