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https://www.cnmc.es/expedientes/c037711</w:t>
      </w:r>
    </w:p>
    <w:p>
      <w:r>
        <w:t>Pages translated : 1</w:t>
      </w:r>
    </w:p>
    <w:p/>
    <w:p>
      <w:r>
        <w:rPr>
          <w:b/>
        </w:rPr>
        <w:t>[Pages 1–1]</w:t>
      </w:r>
    </w:p>
    <w:p>
      <w:r>
        <w:t>RESOLUTION (File No. C-0377/11, ANTIN/AXIÓN)</w:t>
        <w:br/>
        <w:t>COUNCIL</w:t>
        <w:br/>
        <w:t>Mr. Luis Berenguer Fuster, President</w:t>
        <w:br/>
        <w:t>Ms. Pilar Sánchez Núñez, Vice President</w:t>
        <w:br/>
        <w:t>Mr. Julio Costas Comesaña, Counselor</w:t>
        <w:br/>
        <w:t>Ms. Mª Jesús González López, Counselor</w:t>
        <w:br/>
        <w:t>Ms. Inmaculada Gutiérrez Carrizo, Counselor</w:t>
        <w:br/>
        <w:t>In Madrid, on September 28, 2011.</w:t>
        <w:br/>
        <w:t>Having reviewed the file processed in accordance with Law 15/2007, of July 3, on the Defense of Competition, regarding the acquisition by ANTIN INFRASTRUCTURE PARTNERS FCPR (ANTIN) of exclusive control of RED DE BANDA ANCHA DE ANDALUCÍA S.A (AXIÓN) (File No. C/0377/11), and in agreement with the report and proposal submitted by the Directorate of Investigation, the Council of the National Competition Commission has resolved, in application of Article 57.2 of the aforementioned Law, to authorize the aforementioned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