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https://www.cnmc.es/expedientes/c037811</w:t>
      </w:r>
    </w:p>
    <w:p>
      <w:r>
        <w:t>Pages translated : 1</w:t>
      </w:r>
    </w:p>
    <w:p/>
    <w:p>
      <w:r>
        <w:rPr>
          <w:b/>
        </w:rPr>
        <w:t>[Pages 1–1]</w:t>
      </w:r>
    </w:p>
    <w:p>
      <w:r>
        <w:t xml:space="preserve">RESOLUTION (File No. C-0378/11, NMAS1 SGECR/EYSA)  </w:t>
        <w:br/>
        <w:t xml:space="preserve">COUNCIL  </w:t>
        <w:br/>
        <w:t xml:space="preserve">Mr. Luis Berenguer Fuster, President  </w:t>
        <w:br/>
        <w:t xml:space="preserve">Ms. Pilar Sánchez Núñez, Vice President  </w:t>
        <w:br/>
        <w:t xml:space="preserve">Mr. Julio Costas Comesaña, Counselor  </w:t>
        <w:br/>
        <w:t xml:space="preserve">Ms. Mª Jesús González López, Counselor  </w:t>
        <w:br/>
        <w:t xml:space="preserve">Ms. Inmaculada Gutiérrez Carrizo, Counselor  </w:t>
        <w:br/>
        <w:t>In Madrid, on September 7, 2011.</w:t>
      </w:r>
    </w:p>
    <w:p>
      <w:r>
        <w:t>Having reviewed the file processed in accordance with Law 15/2007, of July 3, on the Defense of Competition, concerning the acquisition by NMAS1 CAPITAL PRIVADO, SOCIEDAD GESTORA DE ENTIDADES DE CAPITAL RIESGO S.A. of exclusive control of ESTACIONAMIENTOS Y SERVICIOS S.A. (File No. C/0378/11), and in agreement with the report and proposal submitted by the Directorate of Investigation, the Council of the National Competition Commission has resolved, in application of Article 57.2 of the aforementioned Law, to authorize the said concentration operation in the first phase, except with respect to the non-competition clause regarding certain multi-service contracts which, under the terms provided in section IV of the Report and Proposal, would be subject to the regulations on agreements between companies.</w:t>
      </w:r>
    </w:p>
    <w:p>
      <w:r>
        <w:t xml:space="preserve">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