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https://www.cnmc.es/expedientes/c037911</w:t>
      </w:r>
    </w:p>
    <w:p>
      <w:r>
        <w:t>Pages translated : 1</w:t>
      </w:r>
    </w:p>
    <w:p/>
    <w:p>
      <w:r>
        <w:rPr>
          <w:b/>
        </w:rPr>
        <w:t>[Pages 1–1]</w:t>
      </w:r>
    </w:p>
    <w:p>
      <w:r>
        <w:t>RESOLUTION (File C-0379/11, STERICYCLE/ CONSENUR/ SERMED/ SANYPICK)</w:t>
      </w:r>
    </w:p>
    <w:p>
      <w:r>
        <w:t>COUNCIL</w:t>
      </w:r>
    </w:p>
    <w:p>
      <w:r>
        <w:t>Ms. Pilar Sánchez Núñez, Vice President assuming the functions of President Mr. Julio Costas Comesaña, Councilor Ms. Mª Jesús González López, Councilor Ms. Inmaculada Gutiérrez Carrizo, Councilor</w:t>
      </w:r>
    </w:p>
    <w:p>
      <w:r>
        <w:t>In Madrid, on September 14, 2011.</w:t>
      </w:r>
    </w:p>
    <w:p>
      <w:r>
        <w:t>Having reviewed the file processed in accordance with Law 15/2007, of July 3, on the Defense of Competition, regarding the acquisition by Grupo STERICYCLE of exclusive control of the companies CONSENUR, S.A. and SERMED SERVICIOS CLINICOS Y MEDICOS INTEGRALES S.A, as well as the joint control of the company SANYPICK PLASTIC S.A. (File C/0379/11), and in agreement with the report and proposal submitted by the Directorate of Investigation, the Council of the National Competition Commission has resolved, in application of Article 57.2 of the aforementioned Law, to authorize the said concentration operation in the first phase, except with respect to the confidentiality clause which, to the extent that it exceeds three years, is subject to the regulations on agreements between companies.</w:t>
      </w:r>
    </w:p>
    <w:p>
      <w:r>
        <w:t>On the other hand, the non-competition clause between the seller and the buyer for a period of two years, counted from the Date of Transfer, is an ancillary restriction to the concentration for the purposes of Article 10.3 of the LDC, from which the activity of ESTERITEX, S.A. is excluded in any case, as this Council considers that it is not within the perimeter of the authorized operation.</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