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https://www.cnmc.es/expedientes/c038011</w:t>
      </w:r>
    </w:p>
    <w:p>
      <w:r>
        <w:t>Pages translated : 1</w:t>
      </w:r>
    </w:p>
    <w:p/>
    <w:p>
      <w:r>
        <w:rPr>
          <w:b/>
        </w:rPr>
        <w:t>[Pages 1–1]</w:t>
      </w:r>
    </w:p>
    <w:p>
      <w:r>
        <w:t>RESOLUTION (File No. C-0380/11, CASER/CAIXA PENEDES SSGG)</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August 23, 2011.</w:t>
        <w:br/>
        <w:t>Having reviewed the file processed in accordance with Law 15/2007, of July 3, on the Defense of Competition, regarding the exclusive control acquisition of CAIXA PENEDES ASSEGURANCES GENERALS S.A. by CAJA DE SEGUROS REUNIDOS COMPAÑÍA DE SEGUROS Y REASEGUROS S.A. (CASER) (File No. C/0380/11), and in agreement with the report and proposal submitted by the Investigation Directorate, the Council of the National Competition Commission has resolved to file the concentration, in application of Article 57.2 e) of the aforementioned Law.</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