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https://www.cnmc.es/expedientes/c038211</w:t>
      </w:r>
    </w:p>
    <w:p>
      <w:r>
        <w:t>Pages translated : 1</w:t>
      </w:r>
    </w:p>
    <w:p/>
    <w:p>
      <w:r>
        <w:rPr>
          <w:b/>
        </w:rPr>
        <w:t>[Pages 1–1]</w:t>
      </w:r>
    </w:p>
    <w:p>
      <w:r>
        <w:t xml:space="preserve">RESOLUTION (File C-0382/11, GESTAMP/ESSA PALAU)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September 7, 2011.  </w:t>
        <w:br/>
        <w:t xml:space="preserve">Having reviewed the file processed in accordance with Law 15/2007, of July 3, on the Defense of Competition, concerning the acquisition by Gestamp Manufacturing, Autochassis S.L. and Grupo Estampaciones Sabadell S.L and Bonmor S.L. of joint control over Essa Palau S.A. (File C/0382/11), and in agreement with the report and proposal submitted by the Investigation Directorate, the Council of the National Competition Commission has resolved, in application of Article 57.2.a) of the aforementioned Law, to authorize the said concentration operation in the first phase.  </w:t>
        <w:br/>
        <w:t xml:space="preserve">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