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https://www.cnmc.es/expedientes/c038411</w:t>
      </w:r>
    </w:p>
    <w:p>
      <w:r>
        <w:t>Pages translated : 1</w:t>
      </w:r>
    </w:p>
    <w:p/>
    <w:p>
      <w:r>
        <w:rPr>
          <w:b/>
        </w:rPr>
        <w:t>[Pages 1–1]</w:t>
      </w:r>
    </w:p>
    <w:p>
      <w:r>
        <w:t>RESOLUTION (File No. C-0384/11, ABB/TRASFOR)</w:t>
      </w:r>
    </w:p>
    <w:p>
      <w:r>
        <w:t>COUNCIL</w:t>
      </w:r>
    </w:p>
    <w:p>
      <w:r>
        <w:t>Ms. Pilar Sánchez Núñez, Vice President, assuming the functions of President</w:t>
      </w:r>
    </w:p>
    <w:p>
      <w:r>
        <w:t>Mr. Julio Costas Comesaña, Councilor</w:t>
      </w:r>
    </w:p>
    <w:p>
      <w:r>
        <w:t>Ms. Mª Jesús González López, Councilor</w:t>
      </w:r>
    </w:p>
    <w:p>
      <w:r>
        <w:t>Ms. Inmaculada Gutiérrez Carrizo, Councilor</w:t>
      </w:r>
    </w:p>
    <w:p>
      <w:r>
        <w:t>In Madrid, on September 14, 2011.</w:t>
      </w:r>
    </w:p>
    <w:p>
      <w:r>
        <w:t>Having reviewed the file processed in accordance with Law 15/2007, of July 3, on the Defense of Competition, concerning the acquisition of exclusive control of TRASFOR, S.A. by ABB Ltd through the acquisition of 100% of the share capital of PGC Powergen Consulting S.A. (PGC), the parent company of TRASFOR S.A. (File No. C/0384/11), and in agreement with the report and proposal submitted by the Investigation Directorate, the Council of the National Competition Commission has resolved, in application of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