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https://www.cnmc.es/expedientes/c038711</w:t>
      </w:r>
    </w:p>
    <w:p>
      <w:r>
        <w:t>Pages translated : 1</w:t>
      </w:r>
    </w:p>
    <w:p/>
    <w:p>
      <w:r>
        <w:rPr>
          <w:b/>
        </w:rPr>
        <w:t>[Pages 1–1]</w:t>
      </w:r>
    </w:p>
    <w:p>
      <w:r>
        <w:t>RESOLUTION (File No. C-0387/11, LAN/TEP/TAM)</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October 5, 2011.</w:t>
      </w:r>
    </w:p>
    <w:p>
      <w:r>
        <w:t>Having reviewed the file processed in accordance with Law 15/2007, of July 3, on the Defense of Competition, regarding the joint control acquisition of TAM S.A. by LAN AIRLINES S.A. and TEP CHILE S.A. (File No. C/0387/11), and in agreement with the report and proposal submitted by the Investigation Directorate, the Council of the National Competition Commission has resolved, pursuant to art. 57.2.a) of the aforementioned Law, to authorize the said concentration operation in the first phase.</w:t>
      </w:r>
    </w:p>
    <w:p>
      <w:r>
        <w:t>Communicate this Resolution to the Investigation Directorate of the National Competition Commission and notify the interested parties, informing them that this concludes the administrative process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