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https://www.cnmc.es/expedientes/c038811</w:t>
      </w:r>
    </w:p>
    <w:p>
      <w:r>
        <w:t>Pages translated : 1</w:t>
      </w:r>
    </w:p>
    <w:p/>
    <w:p>
      <w:r>
        <w:rPr>
          <w:b/>
        </w:rPr>
        <w:t>[Pages 1–1]</w:t>
      </w:r>
    </w:p>
    <w:p>
      <w:r>
        <w:t>RESOLUTION (File No. C-0388/11, JPMC/LINPAC ALLIBERT)</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October 13, 2011.</w:t>
      </w:r>
    </w:p>
    <w:p>
      <w:r>
        <w:t>Having reviewed the file processed in accordance with Law 15/2007, of July 3, on the Defense of Competition, regarding the acquisition by JP MORGAN CHASE &amp; CO, through LA HOLDING B.V., of exclusive control of the returnable transit packaging business of the Linpac Group, (File No. C/0388/11), and in agreement with the report and proposal submitted by the Investigation Directorate, the Council of the National Competition Commission has resolved, in application of art. 57.2.a) of the aforementioned Law, to authorize the said concentration operation in the first phase, except for the non-compete clause which, to the extent that it exceeds three years,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