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https://www.cnmc.es/expedientes/c039111</w:t>
      </w:r>
    </w:p>
    <w:p>
      <w:r>
        <w:t>Pages translated : 1</w:t>
      </w:r>
    </w:p>
    <w:p/>
    <w:p>
      <w:r>
        <w:rPr>
          <w:b/>
        </w:rPr>
        <w:t>[Pages 1–1]</w:t>
      </w:r>
    </w:p>
    <w:p>
      <w:r>
        <w:t xml:space="preserve">RESOLUTION (File No. C-0391/11, BRIDGEPOINT/ACS WIND ASSETS)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 xml:space="preserve">Mr. Luis Díez Martín, Councilor  </w:t>
        <w:br/>
        <w:t xml:space="preserve">In Madrid, on November 2, 2011.  </w:t>
        <w:br/>
        <w:t xml:space="preserve">Having reviewed the file processed in accordance with Law 15/2007, of July 3, on the Defense of Competition, concerning the acquisition by BRIDGEPOINT CAPITAL GROUP LIMITED, of the entire share capital of PARQUE EÓLICO MARMELLAR S.L., PARQUE EÓLICO LA BOGA S.L., LA CALDERA ENERGÍA BURGOS S.L., PARQUE EÓLICO SIERRA DE CARBAS S.L., and PARQUE EÓLICO TESOSANTO S.L., companies controlled by the ACS Group, (File No. C/0391/11),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w:t>
        <w:br/>
        <w:t xml:space="preserve">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