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https://www.cnmc.es/expedientes/c039311</w:t>
      </w:r>
    </w:p>
    <w:p>
      <w:r>
        <w:t>Pages translated : 1</w:t>
      </w:r>
    </w:p>
    <w:p/>
    <w:p>
      <w:r>
        <w:rPr>
          <w:b/>
        </w:rPr>
        <w:t>[Pages 1–1]</w:t>
      </w:r>
    </w:p>
    <w:p>
      <w:r>
        <w:t>RESOLUTION (File No. C-0393/11, CAJA RURAL DEL SUR/CAJA RURAL DE EXTREMADURA/CAJA RURAL DE CÓRDOBA)</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October 26, 2011.</w:t>
      </w:r>
    </w:p>
    <w:p>
      <w:r>
        <w:t>Having reviewed the file processed in accordance with Law 15/2007, of July 3, on the Defense of Competition, regarding the integration of CAJA RURAL DEL SUR SOCIEDAD COOPERATIVA DE CRÉDITO, CAJA RURAL DE EXTREMADURA SOCIEDAD COOPERATIVA DE CRÉDITO, and CAJA RURAL DE CÓRDOBA SOCIEDAD COOPERATIVA DE CRÉDITO into a new entity (GRUPO SIP) (File No. C/0393/11),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