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https://www.cnmc.es/expedientes/c039411</w:t>
      </w:r>
    </w:p>
    <w:p>
      <w:r>
        <w:t>Pages translated : 1</w:t>
      </w:r>
    </w:p>
    <w:p/>
    <w:p>
      <w:r>
        <w:rPr>
          <w:b/>
        </w:rPr>
        <w:t>[Pages 1–1]</w:t>
      </w:r>
    </w:p>
    <w:p>
      <w:r>
        <w:t>RESOLUTION (File C-0394/11, IBERDROLA/NAVASFRIAS AND GAS NATURAL/IBERDROLA DISTRIBUTION)</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December 21, 2011.</w:t>
      </w:r>
    </w:p>
    <w:p>
      <w:r>
        <w:t>Having reviewed the file processed in accordance with Law 15/2007, of July 3, on the Defense of Competition, concerning the economic concentration operation IBERDROLA/NAVASFRÍAS AND GAS NATURAL/IBERDROLA DISTRIBUTION (File C/0394/11) and in agreement with the report and proposal submitted by the Investigation Directorate, the Council of the National Competition Commission has resolved, in application of Article 57.2.e) and Article 44 d) of the aforementioned Law, to archive the concentration.</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