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https://www.cnmc.es/expedientes/c039711</w:t>
      </w:r>
    </w:p>
    <w:p>
      <w:r>
        <w:t>Pages translated : 1</w:t>
      </w:r>
    </w:p>
    <w:p/>
    <w:p>
      <w:r>
        <w:rPr>
          <w:b/>
        </w:rPr>
        <w:t>[Pages 1–1]</w:t>
      </w:r>
    </w:p>
    <w:p>
      <w:r>
        <w:t>RESOLUTION (File C-0397/11, BBK/KUTXA/CAJA VITAL)</w:t>
        <w:br/>
        <w:t>COUNCIL</w:t>
        <w:br/>
        <w:t>Mr. Joaquín García Bernaldo de Quirós, President</w:t>
        <w:br/>
        <w:t>Ms. Pilar Sánchez Núñez, Vice President</w:t>
        <w:br/>
        <w:t>Mr. Julio Costas Comesaña, Councilor</w:t>
        <w:br/>
        <w:t>Ms. Mª Jesús González López, Councilor</w:t>
        <w:br/>
        <w:t>Ms. Inmaculada Gutiérrez Carrizo, Councilor</w:t>
        <w:br/>
        <w:t>Ms. Paloma Avila de Grado, Councilor</w:t>
        <w:br/>
        <w:t>Mr. Luis Díez Martín, Councilor</w:t>
        <w:br/>
        <w:t>In Madrid, on November 30, 2011.</w:t>
        <w:br/>
        <w:t>Having reviewed the file processed in accordance with Law 15/2007, of July 3, on the Defense of Competition, regarding the concentration operation consisting of the integration of BILBAO BIZKAIA KUTXA (BBK), CAJA DE AHORROS Y MONTE DE PIEDAD DE GIPUZKOA Y SAN SEBASTIÁN (KUTXA) and CAJA DE AHORROS DE VITORIA Y ALAVA (CAJA VITAL) into a consolidable group of credit entities with a contractual basis (File C/0397/11),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