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https://www.cnmc.es/expedientes/c039811</w:t>
      </w:r>
    </w:p>
    <w:p>
      <w:r>
        <w:t>Pages translated : 1</w:t>
      </w:r>
    </w:p>
    <w:p/>
    <w:p>
      <w:r>
        <w:rPr>
          <w:b/>
        </w:rPr>
        <w:t>[Pages 1–1]</w:t>
      </w:r>
    </w:p>
    <w:p>
      <w:r>
        <w:t>RESOLUTION (File C-0398/11, GRUPO BIMBO/BIMBO ESPAÑA)</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November 10, 2011.</w:t>
      </w:r>
    </w:p>
    <w:p>
      <w:r>
        <w:t>Having reviewed the file processed in accordance with Law 15/2007, of July 3, on the Defense of Competition, concerning the acquisition of exclusive control by GRUPO BIMBO S.A.B. de C.V. of BIMBO S.A.U. and EARTHGRAINS EUROPEAN INVESTMENTS BV, which will cease to be controlled by the Sara Lee Corporation Group, (File C/0398/11),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agreement which, to the extent that it exceeds three years, shall not be an integral part of this concentration operation and is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