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https://www.cnmc.es/expedientes/c039911</w:t>
      </w:r>
    </w:p>
    <w:p>
      <w:r>
        <w:t>Pages translated : 1</w:t>
      </w:r>
    </w:p>
    <w:p/>
    <w:p>
      <w:r>
        <w:rPr>
          <w:b/>
        </w:rPr>
        <w:t>[Pages 1–1]</w:t>
      </w:r>
    </w:p>
    <w:p>
      <w:r>
        <w:t>RESOLUTION (File C-0399/11, COLFAX/CHARTER)</w:t>
      </w:r>
    </w:p>
    <w:p>
      <w:r>
        <w:t>COUNCIL</w:t>
      </w:r>
    </w:p>
    <w:p>
      <w:r>
        <w:t xml:space="preserve">Mr. Joaquín García Bernaldo de Quirós,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 xml:space="preserve">Ms. Paloma Avila de Grado, Councilor  </w:t>
        <w:br/>
        <w:t>Mr. Luis Díez Martín, Councilor</w:t>
      </w:r>
    </w:p>
    <w:p>
      <w:r>
        <w:t>In Madrid, on November 10, 2011.</w:t>
      </w:r>
    </w:p>
    <w:p>
      <w:r>
        <w:t>Having reviewed the file processed in accordance with Law 15/2007, of July 3, on the Defense of Competition, regarding the acquisition by COLFAX CORPORATION of exclusive control over CHARTER INTERNATIONAL PLC, through a public offer to acquire all shares of CHARTER (File C/0399/11), and in agreement with the report and proposal submitted by the Investigation Directorate, the Council of the National Commission on Competition has resolved, in application of Article 57.2.a) of the aforementioned Law, to authorize the said concentration operation in the first phase.</w:t>
      </w:r>
    </w:p>
    <w:p>
      <w:r>
        <w:t>This Resolution shall be communicated to the Investigation Directorate of the National Commission on Competition and notified to the interested parties, informing them that it concludes the administrative procedure and that a contentious-administrative appeal may be filed against it before the National Court, within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