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https://www.cnmc.es/expedientes/c040011</w:t>
      </w:r>
    </w:p>
    <w:p>
      <w:r>
        <w:t>Pages translated : 1</w:t>
      </w:r>
    </w:p>
    <w:p/>
    <w:p>
      <w:r>
        <w:rPr>
          <w:b/>
        </w:rPr>
        <w:t>[Pages 1–1]</w:t>
      </w:r>
    </w:p>
    <w:p>
      <w:r>
        <w:t>RESOLUTION (File No. C-0400/11, TIMAC AGRO/FERTINAGRO/FUTUREA)</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November 2, 2011.</w:t>
      </w:r>
    </w:p>
    <w:p>
      <w:r>
        <w:t>Having reviewed the file processed in accordance with Law 15/2007, of July 3, on the Defense of Competition, concerning the creation of FUTUREA AGROBUSINESS S.L., a joint venture with full functions to be jointly controlled by TIMAC AGRO ESPAÑA S.A. and FERTINAGRO NUTRIENTES S.L., (File No. C/0400/11),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