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https://www.cnmc.es/expedientes/c040311</w:t>
      </w:r>
    </w:p>
    <w:p>
      <w:r>
        <w:t>Pages translated : 1</w:t>
      </w:r>
    </w:p>
    <w:p/>
    <w:p>
      <w:r>
        <w:rPr>
          <w:b/>
        </w:rPr>
        <w:t>[Pages 1–1]</w:t>
      </w:r>
    </w:p>
    <w:p>
      <w:r>
        <w:t>RESOLUTION (File C-0403/11, SPOTLESS GROUP/INSECTICIDES BUSINESS SARA LEE)</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Avila de Grado, Councilor  </w:t>
        <w:br/>
        <w:t>Mr. Luis Díez Martín, Councilor</w:t>
      </w:r>
    </w:p>
    <w:p>
      <w:r>
        <w:t>In Madrid, on November 23, 2011.</w:t>
      </w:r>
    </w:p>
    <w:p>
      <w:r>
        <w:t>Having reviewed the file processed in accordance with Law 15/2007, of July 3, on the Defense of Competition, regarding the acquisition by the Spotless Group of the insecticides business unit owned by Sara Lee, (File C/0403/11),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non-competition agreement, concerning the part of the insecticides business not affected by the present operation, and the non-solicitation agreement, as it affects not only the seller but also the buyer, who are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