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https://www.cnmc.es/expedientes/c040511</w:t>
      </w:r>
    </w:p>
    <w:p>
      <w:r>
        <w:t>Pages translated : 2</w:t>
      </w:r>
    </w:p>
    <w:p/>
    <w:p>
      <w:r>
        <w:rPr>
          <w:b/>
        </w:rPr>
        <w:t>[Pages 1–2]</w:t>
      </w:r>
    </w:p>
    <w:p>
      <w:r>
        <w:t>DIRECTORATE OF INVESTIGATION REPORT AND PROPOSAL FOR RESOLUTION FILE C/0405/11 MRH/BRRA</w:t>
      </w:r>
    </w:p>
    <w:p>
      <w:r>
        <w:t>I. BACKGROUND</w:t>
      </w:r>
    </w:p>
    <w:p>
      <w:r>
        <w:t>(1) On November 3, 2011, a notification was received by the National Competition Commission (CNC) regarding the acquisition by MRH Residuos Metálicos, S.L.U. (MRH) of exclusive control over BRRA (BEFESA Reciclaje de Residuos de Aluminio, S.L. (BRRA), which was previously jointly controlled by MRH and QUALITAS.</w:t>
      </w:r>
    </w:p>
    <w:p>
      <w:r>
        <w:t>(2) The deadline to decide to initiate the second phase of the procedure is December 3, 2011, inclusive. After this date, the notified operation will be considered tacitly authorized.</w:t>
      </w:r>
    </w:p>
    <w:p>
      <w:r>
        <w:t>II. APPLICABILITY OF LAW 15/2007 ON THE DEFENSE OF COMPETITION</w:t>
      </w:r>
    </w:p>
    <w:p>
      <w:r>
        <w:t>(3) The notified operation is an economic concentration in the sense of Article 7.1.b) of Law 15/2007, of July 3, on the Defense of Competition (LDC).</w:t>
      </w:r>
    </w:p>
    <w:p>
      <w:r>
        <w:t>(4) The operation is not of community dimension, as it does not reach the thresholds established in paragraphs 2 and 3 of Article 1 of Council Regulation (EC) No. 139/2004 of January 20, 2004, on the control of concentrations between undertakings.</w:t>
      </w:r>
    </w:p>
    <w:p>
      <w:r>
        <w:t>(5) The notified operation meets the requirements set forth by the LDC, as it exceeds at least the threshold established in Article 8.1 b) of the same and complies with the requirements set forth in Article 56.1.c) of the LDC for processing through a simplified form.</w:t>
      </w:r>
    </w:p>
    <w:p>
      <w:r>
        <w:t>III. PARTICIPATING COMPANIES</w:t>
      </w:r>
    </w:p>
    <w:p>
      <w:r>
        <w:t>(6) MRH is a company belonging to the ABENGOA Group, whose parent company is listed on the stock exchange, and operates in the sectors of infrastructure, environment, and energy.</w:t>
      </w:r>
    </w:p>
    <w:p>
      <w:r>
        <w:t>(7) BRRA is a company jointly controlled by MRH and QUALITAS, whose main activity consists of the recycling of aluminum waste and salt slag.</w:t>
      </w:r>
    </w:p>
    <w:p>
      <w:r>
        <w:t>IV. ASSESSMENT</w:t>
      </w:r>
    </w:p>
    <w:p>
      <w:r>
        <w:t>(8) This Directorate of Investigation considers that the present concentration does not pose a threat to effective competition in the markets, as it does not significantly alter the structure of the considered markets, taking into account that there is a transition from joint control to exclusive control.</w:t>
      </w:r>
    </w:p>
    <w:p>
      <w:r>
        <w:t>(9) In light of the above, it is considered that the operation is susceptible to being authorized in the first phase without commitments.</w:t>
      </w:r>
    </w:p>
    <w:p>
      <w:r>
        <w:t>V.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