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https://www.cnmc.es/expedientes/c040711</w:t>
      </w:r>
    </w:p>
    <w:p>
      <w:r>
        <w:t>Pages translated : 1</w:t>
      </w:r>
    </w:p>
    <w:p/>
    <w:p>
      <w:r>
        <w:rPr>
          <w:b/>
        </w:rPr>
        <w:t>[Pages 1–1]</w:t>
      </w:r>
    </w:p>
    <w:p>
      <w:r>
        <w:t>RESOLUTION (File No. C-0407/11, GDF SUEZ/AESEC/AESCO)</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December 21, 2011.</w:t>
      </w:r>
    </w:p>
    <w:p>
      <w:r>
        <w:t>Having reviewed the file processed in accordance with Law 15/2007, of July 3, on the Defense of Competition, regarding the concentration operation consisting of the acquisition by GDF SUEZ S.A. of exclusive control of AES ENERGÍA CARTAGENA SRL and AES CARTAGENA OPERATIONS S.L., through Electrabel International Holdings BV, a 100% direct subsidiary of GDF SUEZ (File No. C/0407/11),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clause limiting the buyer from hiring employees of the seller, and the limitation for the seller of non-solicitation, which, under the terms provided by Ground IV of the Report and Proposal of the Directorate of Investigation, would be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