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https://www.cnmc.es/expedientes/c040811</w:t>
      </w:r>
    </w:p>
    <w:p>
      <w:r>
        <w:t>Pages translated : 1</w:t>
      </w:r>
    </w:p>
    <w:p/>
    <w:p>
      <w:r>
        <w:rPr>
          <w:b/>
        </w:rPr>
        <w:t>[Pages 1–1]</w:t>
      </w:r>
    </w:p>
    <w:p>
      <w:r>
        <w:t>RESOLUTION (File C-0408/11, BANCO POPULAR/BANCO PASTOR)</w:t>
      </w:r>
    </w:p>
    <w:p>
      <w:r>
        <w:t>COUNCIL</w:t>
      </w:r>
    </w:p>
    <w:p>
      <w:r>
        <w:t xml:space="preserve">Mr. Joaquín García Bernaldo de Quirós, President  </w:t>
        <w:br/>
        <w:t xml:space="preserve">Ms. Pilar Sánchez Núñez, Vice President  </w:t>
        <w:br/>
        <w:t xml:space="preserve">Mr. Julio Costas Comesaña, Counselor  </w:t>
        <w:br/>
        <w:t xml:space="preserve">Ms. Mª Jesús González López, Counselor  </w:t>
        <w:br/>
        <w:t xml:space="preserve">Ms. Inmaculada Gutiérrez Carrizo, Counselor  </w:t>
        <w:br/>
        <w:t xml:space="preserve">Ms. Paloma Avila de Grado, Counselor  </w:t>
        <w:br/>
        <w:t>Mr. Luis Díez Martín, Counselor</w:t>
      </w:r>
    </w:p>
    <w:p>
      <w:r>
        <w:t>In Madrid, on January 18, 2012.</w:t>
      </w:r>
    </w:p>
    <w:p>
      <w:r>
        <w:t>Having reviewed the file processed in accordance with Law 15/2007, of July 3, on the Defense of Competition, concerning the concentration operation consisting of the exclusive control acquisition of BANCO PASTOR S.A. by BANCO POPULAR ESPAÑOL S.A., through a Public Offer of Acquisition (OPA) for the entirety of its share capital (File C/0408/11), and being in agreement with the report and proposal submitted by the Directorate of Investigation, the Council of the National Competition Commission has resolved, in application of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