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https://www.cnmc.es/expedientes/c040911</w:t>
      </w:r>
    </w:p>
    <w:p>
      <w:r>
        <w:t>Pages translated : 1</w:t>
      </w:r>
    </w:p>
    <w:p/>
    <w:p>
      <w:r>
        <w:rPr>
          <w:b/>
        </w:rPr>
        <w:t>[Pages 1–1]</w:t>
      </w:r>
    </w:p>
    <w:p>
      <w:r>
        <w:t>RESOLUTION (File C-0409/11, GOODGROWER/LA CAIXA/UMR)</w:t>
        <w:br/>
        <w:t>COUNCIL</w:t>
        <w:br/>
        <w:t>Mr. Joaquín García Bernaldo de Quirós, President</w:t>
        <w:br/>
        <w:t>Ms. Pilar Sánchez Núñez, Vice President</w:t>
        <w:br/>
        <w:t>Mr. Julio Costas Comesaña, Counselor</w:t>
        <w:br/>
        <w:t>Ms. Mª Jesús González López, Counselor</w:t>
        <w:br/>
        <w:t>Ms. Inmaculada Gutiérrez Carrizo, Counselor</w:t>
        <w:br/>
        <w:t>Ms. Paloma Avila de Grado, Counselor</w:t>
        <w:br/>
        <w:t>Mr. Luis Díez Martín, Counselor</w:t>
        <w:br/>
        <w:t>In Madrid, on November 30, 2011.</w:t>
        <w:br/>
        <w:t>Having reviewed the file processed in accordance with Law 15/2007, of July 3, on the Defense of Competition, regarding the transition from exclusive control by the LA CAIXA group of the company UNIÓN MÉDICA REGIONAL S.A. (UMR), head of the Adeslas hospital business, to its joint control by said group and the company GOODGROWER S.A. (File C/0409/11), and in agreement with the report and proposal submitted by the Directorate of Investigation, the Council of the National Competition Commission has resolved to authorize the aforementioned concentration operation in the first phase in application of Article 57.2.a) of the aforementioned Law, except with respect to the non-solicitation clause, the non-competition clause of Caixa Holding, and the provision of healthcare services under the terms provided in section III of the report and proposal for resolution.</w:t>
        <w:br/>
        <w:t>This Resolution shall be communicated to the Directorate of Investigation of the National Competition Commission and notified to the interested parties, informing them that it concludes the administrative process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