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https://www.cnmc.es/expedientes/c041011</w:t>
      </w:r>
    </w:p>
    <w:p>
      <w:r>
        <w:t>Pages translated : 7</w:t>
      </w:r>
    </w:p>
    <w:p/>
    <w:p>
      <w:r>
        <w:rPr>
          <w:b/>
        </w:rPr>
        <w:t>[Pages 1–3]</w:t>
      </w:r>
    </w:p>
    <w:p>
      <w:r>
        <w:t xml:space="preserve">RESOLUTION  </w:t>
        <w:br/>
        <w:t xml:space="preserve">File C/0410/11 VERIFONE/HYPERCOM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Avila de Grado, Councilor  </w:t>
        <w:br/>
        <w:t xml:space="preserve">Mr. Luis Díez Martín, Councilor  </w:t>
        <w:br/>
        <w:t>In Madrid, on December 29, 2011</w:t>
      </w:r>
    </w:p>
    <w:p>
      <w:r>
        <w:t xml:space="preserve">BACKGROUND  </w:t>
        <w:br/>
        <w:t xml:space="preserve">(1) On January 15, 2011, a draft notification of the economic concentration operation consisting of the acquisition by Verifone Systems, Inc. (VERIFONE) of exclusive control over Hypercom Corporation (HYPERCOM) was received by the National Competition Commission (CNC).  </w:t>
        <w:br/>
        <w:t xml:space="preserve">(2) According to the draft notification, this operation constituted an economic concentration subject to mandatory notification in accordance with the provisions of Article 9 of Law 15/2007, of July 3, on the Defense of Competition (LDC), as the concentration exceeded the thresholds provided in Article 8.1.a) of the same.  </w:t>
        <w:br/>
        <w:t xml:space="preserve">(3) However, subsequently, representatives of VERIFONE indicated that the operation would not be materialized under the initially planned terms, and therefore the notification was not submitted.  </w:t>
        <w:br/>
        <w:t>(4) On February 11, 2011, the Investigation Directorate requested information from VERIFONE regarding the new structure of the concentration operation and the planned schedule for its execution. In its response dated February 23, 2011, VERIFONE communicated that HYPERCOM had initiated a process to sell its business in Spain to a third party, which would precede the merger operation of VERIFONE and HYPERCOM.</w:t>
      </w:r>
    </w:p>
    <w:p>
      <w:r>
        <w:t xml:space="preserve">(5) On June 2, 2011, the CNC received the notification of the operation consisting of the acquisition by Klein Partners Capital Corporation (KLEIN PARTNERS) of exclusive control over Hypercom Spain, S.A. (HYPERCOM SPAIN), which led to the file C/0363/11 KLEIN PARTNERS / HYPERCOM SPAIN.  </w:t>
        <w:br/>
        <w:t xml:space="preserve">(6) On July 20, 2011, the CNC Council, pursuant to Article 57.2.e) of the LDC, decided to archive the file related to this operation as the situation contemplated in Article 44.b) of said Law occurred. The archiving of file C/0363/11 is based on the fact that the KLEIN PARTNERS / HYPERCOM SPAIN transaction, as configured, did not result in a stable change in the control structure of HYPERCOM's market share in Spain, in the sense of Article 7.1 of the LDC.  </w:t>
        <w:br/>
        <w:t xml:space="preserve">(7) In light of the above, on July 22, 2011, the Investigation Directorate informed the representatives of VERIFONE that the concentration operation VERIFONE/HYPERCOM must be notified before its execution, pursuant to the provisions of Article 9 of the LDC.  </w:t>
        <w:br/>
        <w:t xml:space="preserve">(8) On August 5, 2011, a document from VERIFONE was received by the CNC stating that, in its opinion, it was not necessary to notify the VERIFONE/HYPERCOM operation as it did not exceed the notification thresholds provided in Article 8 of the LDC and that said operation had been executed on August 4, 2011.  </w:t>
        <w:br/>
        <w:t xml:space="preserve">(9) On September 16, 2011, pursuant to Article 9.5 of the LDC, the Investigation Directorate requested VERIFONE to notify the concentration operation VERIFONE/HYPERCOM within a period of 20 days.  </w:t>
        <w:br/>
        <w:t xml:space="preserve">(10) On October 3, 2011, a document from VERIFONE was received by the CNC, attaching new contracts signed between KLEIN PARTNERS and HYPERCOM after the CNC Council Resolution of July 20, 2011, in file C/0368/11, and requesting that the notification requirement from the Investigation Directorate be annulled, as it considered that the operation did not meet the thresholds provided in Article 8.1 of the LDC. At the same time, VERIFONE requested an extension of the deadline for submitting the notification form. On that same date, the Investigation Directorate agreed to grant an additional period of 10 days.  </w:t>
        <w:br/>
        <w:t xml:space="preserve">(11) On October 21, 2011, a new document from VERIFONE was received by the CNC, submitting the notification form for the concentration operation VERIFONE / HYPERCOM. In this document, VERIFONE requests the filing of the corresponding case, as it does not exceed the thresholds provided in Article 8 of the LDC.  </w:t>
        <w:br/>
        <w:t xml:space="preserve">(12) The notification form submitted by VERIFONE did not meet the requirements set out in Annex II of the Competition Defense Regulation (RDC), approved by Royal Decree 261/2008, of February 22. Therefore, on October 24, 2011, in accordance with the provisions of Article 17.2 of the RDC, the Investigation Directorate reiterated to VERIFONE the requirement to submit the duly completed notification form, granting it a period of 5 days for its submission.  </w:t>
        <w:br/>
        <w:t xml:space="preserve">(13) On November 2, 2011, VERIFONE submitted part of the documentation required by the Investigation Directorate.  </w:t>
        <w:br/>
        <w:t xml:space="preserve">(14) On November 10, 2011, the rest of the documentation required by the Investigation Directorate from VERIFONE was received by the CNC, fulfilling the procedure for submitting the notification form corresponding to the concentration operation consisting of the acquisition by VERIFONE of exclusive control over HYPERCOM.  </w:t>
        <w:br/>
        <w:t xml:space="preserve">(15) On December 5, 2011, VERIFONE submitted, pursuant to the provisions of Article 59 of the LDC, commitments aimed at resolving the obstacles to maintaining effective competition that may arise from the notified concentration operation. On December 22, 2011, VERIFONE submitted a modification of said commitments to the CNC.  </w:t>
        <w:br/>
        <w:t>(16) Furthermore, on November 23, 2011, the Investigation Directorate, pursuant to Article 55.6 of the LDC, requested certain information from KLEIN PARTNERS regarding possible commitments within the framework of the reference file. On that same date, and in accordance with the provisions of Article 37.1.b) of the LDC, the suspension of the</w:t>
      </w:r>
    </w:p>
    <w:p>
      <w:r>
        <w:rPr>
          <w:b/>
        </w:rPr>
        <w:t>[Pages 4–6]</w:t>
      </w:r>
    </w:p>
    <w:p>
      <w:r>
        <w:t>maximum period for resolving the procedure as a result of said information request.</w:t>
      </w:r>
    </w:p>
    <w:p>
      <w:r>
        <w:t>(17) On December 5, 2011, the response from KLEIN PARTNERS to the previous information request was received, resuming the calculation of the maximum period to resolve the procedure.</w:t>
      </w:r>
    </w:p>
    <w:p>
      <w:r>
        <w:t>(18) On December 9, 2011, the Directorate of Investigation made a new information request to KLEIN PARTNERS, while also communicating to the aforementioned company the commitments presented by VERIFONE. This request led to a new suspension of the maximum period for resolving the procedure, in accordance with the provisions of Article 37.1.b) of the LDC.</w:t>
      </w:r>
    </w:p>
    <w:p>
      <w:r>
        <w:t>(19) On December 16, 2011, KLEIN PARTNERS sent a written response to the CNC regarding the information request dated December 9, 2011.</w:t>
      </w:r>
    </w:p>
    <w:p>
      <w:r>
        <w:t>(20) On December 23, 2011, the Directorate of Investigation submitted a report and Proposal for Resolution to the Council. The Directorate of Investigation in Section VII of its report justifies that the notified concentration operation, without the adoption of sufficient remedies, may have significant effects, both unilateral and coordinated, on effective competition in the various markets for electronic payment terminals considered. It also analyzes the commitments presented on December 22 by the notifier and concludes that they adequately and sufficiently resolve the risks that the operation poses to effective competition. In light of all the above and pursuant to Article 57.1 of Law 15/2007, of July 3, on the Defense of Competition, the Directorate of Investigation proposes to authorize the concentration subject to compliance with the commitments presented by VERIFONE SYSTEMS, INC. on December 22, 2011, in application of Article 57.2.b) of Law 15/2007, of July 3, on the Defense of Competition.</w:t>
      </w:r>
    </w:p>
    <w:p>
      <w:r>
        <w:t>(21) Verifone Systems, Inc. is an interested party in this file.</w:t>
      </w:r>
    </w:p>
    <w:p>
      <w:r>
        <w:t>(22) After deliberating in its plenary session on December 28, 2011, the Council of the National Competition Commission adopted this Resolution.</w:t>
      </w:r>
    </w:p>
    <w:p>
      <w:r>
        <w:t>LEGAL GROUNDS</w:t>
      </w:r>
    </w:p>
    <w:p>
      <w:r>
        <w:t>FIRST. In accordance with Article 57.2 of the LDC, based on the report and proposal for resolution from the Directorate of Investigation, the CNC Council will issue a resolution in the first phase, in which it may: a) Authorize the concentration; b) Subordinate the authorization of the concentration to compliance with certain commitments proposed by the notifiers; c) Agree to initiate the second phase of the procedure when it considers that the concentration may hinder the maintenance of effective competition in all or part of the national market; or d) Agree to refer the concentration to the European Commission in accordance with Article 22 of Council Regulation (EC) No. 139/2004 of January 20, 2004, on the control of concentrations between undertakings and the filing of the corresponding notification.</w:t>
      </w:r>
    </w:p>
    <w:p>
      <w:r>
        <w:t>SECOND. In accordance with the provisions of Article 59 of the LDC and Article 69 of the Competition Defense Regulation, the notifier has presented commitments during the first phase of analysis of the concentration control procedure regulated in the LDC, which are transcribed below: “1. VERIFONE commits to maintain the full validity and to comply with and respect the terms and conditions of the License Agreements for Spain and the United Kingdom signed with KLEIN. 2. VERIFONE commits to grant KLEIN a license for the marketing of certain products, according to the terms and conditions established in the agreement attached as Confidential Annex 1 ("the Additional License Agreement"). 3. VERIFONE commits to adopt the following measures in order to facilitate the monitoring and oversight of compliance with the previous obligations by the DI. a. VERIFONE will send a copy of the Additional License Agreement to the DI as soon as it is executed by VERIFONE and KLEIN. b. VERIFONE will inform the DI in writing of any substantial incident that may arise between VERIFONE and KLEIN during the execution of the Additional License Agreement that the parties have been unable to resolve. For these purposes, "incident" shall mean (i) any substantial modification of the contract that VERIFONE and KLEIN intend to introduce, which must be communicated to the DI for prior authorization; and (ii) any breach of the contract by VERIFONE or KLEIN, alleged in writing by either party, that they have been unable to resolve amicably after consulting each other. VERIFONE must inform the DI in writing within 15 working days (defined according to applicable Spanish regulations) from the date it becomes aware of any unresolved incident. Regarding the previous subsection (i), it will be considered that VERIFONE became aware of the incident on the date that VERIFONE and KLEIN conclude a written agreement regarding the proposed substantial modification of the Additional License Agreement that the parties intend to carry out (after its authorization by the CNC). Regarding the previous subsection (ii), it will be considered that VERIFONE became aware of the incident on the date it receives written communication from KLEIN (regarding an alleged contractual breach by VERIFONE) in which KLEIN states the impossibility of reaching an amicable resolution of the incident, or on the date that VERIFONE sends written communication to KLEIN (regarding an alleged contractual breach by KLEIN) expressing the impossibility of reaching an amicable resolution of the incident. This obligation will remain in force only during the duration of the Additional License Agreement and will not extend in the event that VERIFONE and KLEIN agree to extend said contract. c. VERIFONE will submit to the DI, within one month after the end of each calendar year, a report on the monitoring of the execution of the Additional License Agreement that will contain the incidents referred to in the previous subsection (b) that have occurred during the year in question. This obligation will remain in force during the validity period of the Additional License Agreement and will not extend in the event that VERIFONE and KLEIN agree to extend said contract.”</w:t>
      </w:r>
    </w:p>
    <w:p>
      <w:r>
        <w:t>THIRD. The Council, having reviewed the processed file and analyzed the report submitted to it by the Directorate of Investigation regarding the operation, agrees with the assessment contained in that report regarding the risks that the operation poses to effective competition in the identified relevant affected markets. It also shares the assessment of the Directorate of Investigation that the set of commitments presented by the notifier is sufficient and proportionate to eliminate the possible risks of hindering effective competition arising from the concentration operation under analysis.</w:t>
      </w:r>
    </w:p>
    <w:p>
      <w:r>
        <w:t>FOURTH. In order to ensure the effectiveness of the commitments, the CNC must ensure their proper execution, in the terms regulated in Article 41.1 of the LDC.</w:t>
      </w:r>
    </w:p>
    <w:p>
      <w:r>
        <w:rPr>
          <w:b/>
        </w:rPr>
        <w:t>[Pages 7–7]</w:t>
      </w:r>
    </w:p>
    <w:p>
      <w:r>
        <w:t>FIFTH. The non-compliance with the provisions of this Resolution will be considered a very serious infringement and may, where appropriate, lead to the sanctions provided for in the LDC.</w:t>
      </w:r>
    </w:p>
    <w:p>
      <w:r>
        <w:t>For all of which, having regard to the cited legal provisions and those of general application, the Council of the National Competition Commission,</w:t>
      </w:r>
    </w:p>
    <w:p>
      <w:r>
        <w:t>HAS RESOLVED</w:t>
      </w:r>
    </w:p>
    <w:p>
      <w:r>
        <w:t>FIRST. In application of Article 57.2.b) of Law 15/2007, to subordinate the authorization of the economic concentration consisting of the acquisition by VERIFONE SYSTEMS, INC. of exclusive control over HYPERCOM CORPORATION to the fulfillment of the commitments proposed by the notifier, which are transcribed in the Legal Basis Second of the Resolution and in the confidential Annex thereof.</w:t>
      </w:r>
    </w:p>
    <w:p>
      <w:r>
        <w:t>SECOND. To entrust the Directorate of Investigation with the monitoring of this Resolution in accordance with the provisions of Article 35.2.c) of the LDC.</w:t>
      </w:r>
    </w:p>
    <w:p>
      <w:r>
        <w:t>THIRD. The non-compliance with the provisions of this Resolution is considered a very serious infringement in accordance with Article 62 of the LDC, which may lead to the sanctions provided for in Articles 63 and 67 thereof.</w:t>
      </w:r>
    </w:p>
    <w:p>
      <w:r>
        <w:t>This Resolution shall be communicated to the Directorate of Investigation of the CNC and to the notifier, informing them that an administrative contentious appeal may be filed against this Resolution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