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https://www.cnmc.es/expedientes/c041311</w:t>
      </w:r>
    </w:p>
    <w:p>
      <w:r>
        <w:t>Pages translated : 1</w:t>
      </w:r>
    </w:p>
    <w:p/>
    <w:p>
      <w:r>
        <w:rPr>
          <w:b/>
        </w:rPr>
        <w:t>[Pages 1–1]</w:t>
      </w:r>
    </w:p>
    <w:p>
      <w:r>
        <w:t>RESOLUTION (File C-0413/11, AGROLIMEN/PASA)</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December 21, 2011.</w:t>
        <w:br/>
        <w:t>Having reviewed the file processed in accordance with Law 15/2007, of July 3, on the Defense of Competition, regarding the concentration operation consisting of the acquisition by AGROLIMEN of exclusive control over PASA, over which it has held joint control since 2006, together with FINDIM INVESTMENTS, S.A, through a share purchase agreement (File C/0413/11), and in agreement with the report and the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non-solicitation, and confidentiality obligations assumed by the buyer and the non-competition, non-solicitation, and confidentiality agreements, which will be subject to the regulations on agreements between companies in accordance with the provisions of section IV of the Report and Proposal of the Directorate of Investigation.</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