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https://www.cnmc.es/expedientes/c041411</w:t>
      </w:r>
    </w:p>
    <w:p>
      <w:r>
        <w:t>Pages translated : 1</w:t>
      </w:r>
    </w:p>
    <w:p/>
    <w:p>
      <w:r>
        <w:rPr>
          <w:b/>
        </w:rPr>
        <w:t>[Pages 1–1]</w:t>
      </w:r>
    </w:p>
    <w:p>
      <w:r>
        <w:t>RESOLUTION (File No. C-0414/11, DAMM/COBEGA/CACAOLAT)</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December 14, 2011.</w:t>
      </w:r>
    </w:p>
    <w:p>
      <w:r>
        <w:t>Having reviewed the file processed in accordance with Law 15/2007, of July 3, on the Defense of Competition, regarding the acquisition, in bankruptcy proceedings, by SA DAMM and COBEGA S.A. of joint control over the production unit CACAOLAT (File No. C/0414/11),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