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https://www.cnmc.es/expedientes/c041511</w:t>
      </w:r>
    </w:p>
    <w:p>
      <w:r>
        <w:t>Pages translated : 1</w:t>
      </w:r>
    </w:p>
    <w:p/>
    <w:p>
      <w:r>
        <w:rPr>
          <w:b/>
        </w:rPr>
        <w:t>[Pages 1–1]</w:t>
      </w:r>
    </w:p>
    <w:p>
      <w:r>
        <w:t>RESOLUTION (File No. C-0415/11, MAESPA/RODON PORTA)</w:t>
        <w:br/>
        <w:t>COUNCIL</w:t>
        <w:br/>
        <w:t>Mr. Joaquín García Bernaldo de Quirós, President</w:t>
        <w:br/>
        <w:t>Ms. Pilar Sánchez Núñez, Vice President</w:t>
        <w:br/>
        <w:t>Mr. Julio Costas Comesaña, Councilor</w:t>
        <w:br/>
        <w:t>Ms. Mª Jesús González López, Councilor</w:t>
        <w:br/>
        <w:t>Ms. Inmaculada Gutiérrez Carrizo, Councilor</w:t>
        <w:br/>
        <w:t>Ms. Paloma Avila de Grado, Councilor</w:t>
        <w:br/>
        <w:t>Mr. Luis Díez Martín, Councilor</w:t>
        <w:br/>
        <w:t>In Madrid, on December 28, 2011.</w:t>
        <w:br/>
        <w:t>Having reviewed the file processed in accordance with Law 15/2007, of July 3, on the Defense of Competition, concerning the concentration operation consisting of the acquisition by MAESPA MANIPULADOS S.L. of the entire share capital of RODON PORTA S.L. (File No. C/0415/11),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