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https://www.cnmc.es/expedientes/c041611</w:t>
      </w:r>
    </w:p>
    <w:p>
      <w:r>
        <w:t>Pages translated : 1</w:t>
      </w:r>
    </w:p>
    <w:p/>
    <w:p>
      <w:r>
        <w:rPr>
          <w:b/>
        </w:rPr>
        <w:t>[Pages 1–1]</w:t>
      </w:r>
    </w:p>
    <w:p>
      <w:r>
        <w:t>RESOLUTION (File C-0416/11, LOOMIS/EFECTIVOX)</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Ms. Paloma Avila de Grado, Councilor  </w:t>
        <w:br/>
        <w:t>Mr. Luis Díez Martín, Councilor</w:t>
      </w:r>
    </w:p>
    <w:p>
      <w:r>
        <w:t>In Madrid, on February 22, 2012.</w:t>
      </w:r>
    </w:p>
    <w:p>
      <w:r>
        <w:t>Having reviewed the file processed in accordance with Law 15/2007, of July 3, on the Defense of Competition, concerning the concentration operation consisting of the acquisition by LOOMIS S.A. of exclusive control over EFECTIVOX S.A., both engaged in the provision of cash transportation and cash handling services (File C/0416/11),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