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https://www.cnmc.es/expedientes/c041711</w:t>
      </w:r>
    </w:p>
    <w:p>
      <w:r>
        <w:t>Pages translated : 1</w:t>
      </w:r>
    </w:p>
    <w:p/>
    <w:p>
      <w:r>
        <w:rPr>
          <w:b/>
        </w:rPr>
        <w:t>[Pages 1–1]</w:t>
      </w:r>
    </w:p>
    <w:p>
      <w:r>
        <w:t>RESOLUTION (File C-0417/11, ENAGÁS/GASCAN)</w:t>
      </w:r>
    </w:p>
    <w:p>
      <w:r>
        <w:t>COUNCIL</w:t>
      </w:r>
    </w:p>
    <w:p>
      <w:r>
        <w:t xml:space="preserve">Mr. Joaquín García Bernaldo de Quirós, President  </w:t>
        <w:br/>
        <w:t xml:space="preserve">Ms. Pilar Sánchez Núñez, Vice President  </w:t>
        <w:br/>
        <w:t xml:space="preserve">Ms. Mª Jesús González López, Councilor  </w:t>
        <w:br/>
        <w:t xml:space="preserve">Ms. Inmaculada Gutiérrez Carrizo, Councilor  </w:t>
        <w:br/>
        <w:t xml:space="preserve">Ms. Paloma Avila de Grado, Councilor  </w:t>
        <w:br/>
        <w:t>Mr. Luis Díez Martín, Councilor</w:t>
      </w:r>
    </w:p>
    <w:p>
      <w:r>
        <w:t>In Madrid, on February 8, 2012.</w:t>
      </w:r>
    </w:p>
    <w:p>
      <w:r>
        <w:t>Having reviewed the file processed in accordance with Law 15/2007, of July 3, on the Defense of Competition, regarding the concentration operation consisting of the acquisition by ENAGÁS S.A. of a 41.94% stake in COMPAÑÍA TRANSPORTISTA DE GAS CANARIAS S.A. (GASCAN) and, consequently, the acquisition of joint control of GASCAN by ENAGÁS together with ENDESA S.A. (47.18%) (File C/0417/11),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