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https://www.cnmc.es/expedientes/c041811</w:t>
      </w:r>
    </w:p>
    <w:p>
      <w:r>
        <w:t>Pages translated : 1</w:t>
      </w:r>
    </w:p>
    <w:p/>
    <w:p>
      <w:r>
        <w:rPr>
          <w:b/>
        </w:rPr>
        <w:t>[Pages 1–1]</w:t>
      </w:r>
    </w:p>
    <w:p>
      <w:r>
        <w:t>NATIONAL COMPETITION COMMISSION RESOLUTION (Case C/0418/11 ANTENA 3 / LA SEXTA) COUNCIL Mr. Joaquín García Bernaldo de Quirós, President Ms. Pilar Sánchez Núñez, Vice President Mr. Julio Costas Comesaña, Council Member Ms. Mª Jesús González López, Council Member Ms. Inmaculada Gutiérrez Carrizo, Council Member Ms. Paloma Ávila de Grado, Council Member Mr. Luis Díez Martín, Council Member In Madrid, on March 7, 2011. Having reviewed the case processed in accordance with Law 15/2007, of July 3, on the Defense of Competition, concerning the acquisition by ANTENA 3 of exclusive control over Gestora de Inversiones Audiovisuales La Sexta, S.A. (LA SEXTA), through the purchase of 100% of its share capital (Case C/0418/11), and in agreement with the report and proposal submitted by the Investigation Directorate, the Council of the National Competition Commission has resolved, in application of Article 57.2.e) of the aforementioned Law, to file the said concentration operation as the European Commission declared, on March 5, 2012, that it has a community dimension. 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