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https://www.cnmc.es/expedientes/c041912</w:t>
      </w:r>
    </w:p>
    <w:p>
      <w:r>
        <w:t>Pages translated : 1</w:t>
      </w:r>
    </w:p>
    <w:p/>
    <w:p>
      <w:r>
        <w:rPr>
          <w:b/>
        </w:rPr>
        <w:t>[Pages 1–1]</w:t>
      </w:r>
    </w:p>
    <w:p>
      <w:r>
        <w:t>RESOLUTION (File C-0419/12, L-3/KEO BUSINESS)</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Ms. Paloma Avila de Grado, Council Member</w:t>
        <w:br/>
        <w:t>Mr. Luis Díez Martín, Council Member</w:t>
        <w:br/>
        <w:t>In Madrid, on February 1, 2012.</w:t>
        <w:br/>
        <w:t>Having reviewed the file processed in accordance with Law 15/2007, of July 3, on the Defense of Competition, concerning the concentration operation consisting of the acquisition by L-3 of certain assets and the share capital of CALZONI S.r.L., (File C/0419/12),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confidentiality clause which, to the extent that it exceeds three years, shall be subject to the regulations on agreements between companies. The obligation of confidentiality for L-3 regarding DANAHER and its subsidiaries is also excluded.</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