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https://www.cnmc.es/expedientes/c042112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 (File No. C-0421/12, NAZCA/IMO)</w:t>
        <w:br/>
        <w:t>COUNCIL</w:t>
        <w:br/>
        <w:t>Mr. Joaquín García Bernaldo de Quirós, President</w:t>
        <w:br/>
        <w:t>Ms. Pilar Sánchez Núñez, Vice President</w:t>
        <w:br/>
        <w:t>Mr. Julio Costas Comesaña, Council Member</w:t>
        <w:br/>
        <w:t>Ms. Mª Jesús González López, Council Member</w:t>
        <w:br/>
        <w:t>Ms. Inmaculada Gutiérrez Carrizo, Council Member</w:t>
        <w:br/>
        <w:t>Ms. Paloma Avila de Grado, Council Member</w:t>
        <w:br/>
        <w:t>Mr. Luis Díez Martín, Council Member</w:t>
        <w:br/>
        <w:t>In Madrid, on February 1, 2012.</w:t>
        <w:br/>
        <w:t>Having reviewed the file processed in accordance with Law 15/2007, of July 3, on</w:t>
        <w:br/>
        <w:t>the Defense of Competition, concerning the concentration operation by which</w:t>
        <w:br/>
        <w:t>NAZCA CAPITAL S.G.E.C.R. S.A. acquires exclusive control of the companies</w:t>
        <w:br/>
        <w:t>comprising the IMO GROUP (File No. C/0421/12), and in agreement with the</w:t>
        <w:br/>
        <w:t>report and proposal submitted by the Investigation Directorate, the Council of the</w:t>
        <w:br/>
        <w:t>National Competition Commission has resolved, in application of Article 57.2.a) of</w:t>
        <w:br/>
        <w:t>the aforementioned Law, to authorize the said concentration operation in the first phase,</w:t>
        <w:br/>
        <w:t>except with respect to the non-competition and non-solicitation agreements which, to</w:t>
        <w:br/>
        <w:t>the extent that they exceed three years from the date of closing, are excluded from the</w:t>
        <w:br/>
        <w:t>notified operation and would be subject to the regulations on agreements between</w:t>
        <w:br/>
        <w:t>companies.</w:t>
        <w:br/>
        <w:t>This Resolution shall be communicated to the Investigation Directorate of the</w:t>
        <w:br/>
        <w:t>National Competition Commission and notified to the interested parties, informing them</w:t>
        <w:br/>
        <w:t>that it concludes the administrative procedure and that a contentious-administrative</w:t>
        <w:br/>
        <w:t>appeal may be filed against it before the National Court, within two months from its</w:t>
        <w:br/>
        <w:t>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